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after="480"/>
        <w:jc w:val="left"/>
        <w:shd w:fill="070707" w:val="clear"/>
      </w:pPr>
      <w:r>
        <w:drawing>
          <wp:inline xmlns:a="http://schemas.openxmlformats.org/drawingml/2006/main" xmlns:pic="http://schemas.openxmlformats.org/drawingml/2006/picture">
            <wp:extent cx="1828800" cy="731520"/>
            <wp:docPr id="1" name="Picture 1" descr="Ultra PRO logo" title="Ultra PRO logo"/>
            <wp:cNvGraphicFramePr>
              <a:graphicFrameLocks noChangeAspect="1"/>
            </wp:cNvGraphicFramePr>
            <a:graphic>
              <a:graphicData uri="http://schemas.openxmlformats.org/drawingml/2006/picture">
                <pic:pic>
                  <pic:nvPicPr>
                    <pic:cNvPr id="0" name="Logo-UP-Mimecast.png"/>
                    <pic:cNvPicPr/>
                  </pic:nvPicPr>
                  <pic:blipFill>
                    <a:blip r:embed="rId11"/>
                    <a:stretch>
                      <a:fillRect/>
                    </a:stretch>
                  </pic:blipFill>
                  <pic:spPr>
                    <a:xfrm>
                      <a:off x="0" y="0"/>
                      <a:ext cx="1828800" cy="731520"/>
                    </a:xfrm>
                    <a:prstGeom prst="rect"/>
                  </pic:spPr>
                </pic:pic>
              </a:graphicData>
            </a:graphic>
          </wp:inline>
        </w:drawing>
      </w:r>
    </w:p>
    <w:p>
      <w:pPr>
        <w:spacing w:before="160" w:after="80"/>
      </w:pPr>
      <w:r>
        <w:rPr>
          <w:rFonts w:ascii="Arial" w:hAnsi="Arial" w:eastAsia="Arial"/>
          <w:b/>
          <w:color w:val="B22125"/>
          <w:sz w:val="18"/>
        </w:rPr>
        <w:t>PARTNER INTEGRATION OPERATING GUIDE</w:t>
      </w:r>
    </w:p>
    <w:p>
      <w:pPr>
        <w:pStyle w:val="Title"/>
        <w:keepNext/>
      </w:pPr>
      <w:r>
        <w:rPr>
          <w:rFonts w:ascii="Arial" w:hAnsi="Arial" w:eastAsia="Arial"/>
          <w:b/>
          <w:color w:val="070707"/>
          <w:sz w:val="60"/>
        </w:rPr>
        <w:t>EDI / API Integration</w:t>
        <w:br/>
        <w:t>Onboarding Workflow</w:t>
      </w:r>
    </w:p>
    <w:p>
      <w:pPr>
        <w:pStyle w:val="Subtitle"/>
      </w:pPr>
      <w:r>
        <w:t>Initial contact through production rollout, hypercare, and transition to support</w:t>
      </w:r>
    </w:p>
    <w:p>
      <w:pPr>
        <w:spacing w:before="240" w:after="360"/>
        <w:shd w:fill="B22125" w:val="clear"/>
      </w:pPr>
      <w:r>
        <w:rPr>
          <w:rFonts w:ascii="Arial" w:hAnsi="Arial" w:eastAsia="Arial"/>
          <w:b/>
          <w:color w:val="FFFFFF"/>
          <w:sz w:val="17"/>
        </w:rPr>
        <w:t xml:space="preserve">  Version 1.0  </w:t>
      </w:r>
      <w:r>
        <w:rPr>
          <w:rFonts w:ascii="Arial" w:hAnsi="Arial" w:eastAsia="Arial"/>
          <w:b/>
          <w:color w:val="FFFFFF"/>
          <w:sz w:val="17"/>
        </w:rPr>
        <w:t xml:space="preserve">  21 August 2026  </w:t>
      </w:r>
      <w:r>
        <w:rPr>
          <w:rFonts w:ascii="Arial" w:hAnsi="Arial" w:eastAsia="Arial"/>
          <w:b/>
          <w:color w:val="FFFFFF"/>
          <w:sz w:val="17"/>
        </w:rPr>
        <w:t xml:space="preserve">  Owner: Ultra PRO Information Technology / EDI Support  </w:t>
      </w:r>
    </w:p>
    <w:p>
      <w:pPr>
        <w:spacing w:before="0" w:after="240" w:line="300" w:lineRule="auto"/>
      </w:pPr>
      <w:r>
        <w:rPr>
          <w:rFonts w:ascii="Arial" w:hAnsi="Arial" w:eastAsia="Arial"/>
          <w:i w:val="0"/>
          <w:color w:val="242524"/>
          <w:sz w:val="21"/>
        </w:rPr>
        <w:t>This controlled workflow establishes the minimum delivery gates for ANSI X12 EDI, API and marketplace, and managed file transfer integrations involving Ultra PRO, Cleo Integration Cloud, ERPNext, Microsoft 365, and approved partner platforms.</w:t>
      </w:r>
    </w:p>
    <w:p>
      <w:pPr>
        <w:spacing w:before="160" w:after="200" w:line="276" w:lineRule="auto"/>
        <w:ind w:left="259" w:right="173"/>
        <w:shd w:fill="F1F1EF" w:val="clear"/>
        <w:pBdr>
          <w:left w:val="single" w:sz="20" w:space="10" w:color="B22125"/>
        </w:pBdr>
      </w:pPr>
      <w:r>
        <w:rPr>
          <w:rFonts w:ascii="Arial" w:hAnsi="Arial" w:eastAsia="Arial"/>
          <w:b/>
          <w:color w:val="070707"/>
          <w:sz w:val="20"/>
        </w:rPr>
        <w:t xml:space="preserve">Partner start point: </w:t>
      </w:r>
      <w:r>
        <w:rPr>
          <w:rFonts w:ascii="Arial" w:hAnsi="Arial" w:eastAsia="Arial"/>
          <w:color w:val="242524"/>
          <w:sz w:val="20"/>
        </w:rPr>
        <w:t>Email edisupport@ultrapro.com or use the Ultra PRO IT Microsoft Bookings service. Do not send passwords, tokens, private keys, certificates, or production payloads through ordinary email.</w:t>
      </w:r>
    </w:p>
    <w:p>
      <w:r>
        <w:br w:type="page"/>
      </w:r>
    </w:p>
    <w:p>
      <w:pPr>
        <w:pStyle w:val="Heading1"/>
        <w:keepNext/>
        <w:keepLines/>
      </w:pPr>
      <w:r>
        <w:rPr>
          <w:rFonts w:ascii="Arial" w:hAnsi="Arial" w:eastAsia="Arial"/>
          <w:b/>
          <w:color w:val="B22125"/>
          <w:sz w:val="36"/>
        </w:rPr>
        <w:t>Document control</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2200"/>
        <w:gridCol w:w="7160"/>
      </w:tblGrid>
      <w:tr>
        <w:trPr>
          <w:tblHeader w:val="true"/>
          <w:cantSplit w:val="true"/>
        </w:trPr>
        <w:tc>
          <w:tcPr>
            <w:tcW w:type="dxa" w:w="22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Field</w:t>
            </w:r>
          </w:p>
        </w:tc>
        <w:tc>
          <w:tcPr>
            <w:tcW w:type="dxa" w:w="71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Value</w:t>
            </w:r>
          </w:p>
        </w:tc>
      </w:tr>
      <w:tr>
        <w:trPr>
          <w:cantSplit w:val="true"/>
        </w:trPr>
        <w:tc>
          <w:tcPr>
            <w:tcW w:type="dxa" w:w="2200"/>
            <w:tcMar>
              <w:top w:w="90" w:type="dxa"/>
              <w:start w:w="120" w:type="dxa"/>
              <w:bottom w:w="90" w:type="dxa"/>
              <w:end w:w="120" w:type="dxa"/>
            </w:tcMar>
            <w:vAlign w:val="center"/>
          </w:tcPr>
          <w:p>
            <w:pPr>
              <w:spacing w:before="0" w:after="0" w:line="259" w:lineRule="auto"/>
            </w:pPr>
            <w:r>
              <w:rPr>
                <w:rFonts w:ascii="Arial" w:hAnsi="Arial" w:eastAsia="Arial"/>
                <w:color w:val="242524"/>
                <w:sz w:val="17"/>
              </w:rPr>
              <w:t>Document owner</w:t>
            </w:r>
          </w:p>
        </w:tc>
        <w:tc>
          <w:tcPr>
            <w:tcW w:type="dxa" w:w="7160"/>
            <w:tcMar>
              <w:top w:w="90" w:type="dxa"/>
              <w:start w:w="120" w:type="dxa"/>
              <w:bottom w:w="90" w:type="dxa"/>
              <w:end w:w="120" w:type="dxa"/>
            </w:tcMar>
            <w:vAlign w:val="center"/>
          </w:tcPr>
          <w:p>
            <w:pPr>
              <w:spacing w:before="0" w:after="0" w:line="259" w:lineRule="auto"/>
            </w:pPr>
            <w:r>
              <w:rPr>
                <w:rFonts w:ascii="Arial" w:hAnsi="Arial" w:eastAsia="Arial"/>
                <w:color w:val="242524"/>
                <w:sz w:val="17"/>
              </w:rPr>
              <w:t>Ultra PRO Information Technology / EDI Support</w:t>
            </w:r>
          </w:p>
        </w:tc>
      </w:tr>
      <w:tr>
        <w:trPr>
          <w:cantSplit w:val="true"/>
        </w:trPr>
        <w:tc>
          <w:tcPr>
            <w:tcW w:type="dxa" w:w="22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Primary audience</w:t>
            </w:r>
          </w:p>
        </w:tc>
        <w:tc>
          <w:tcPr>
            <w:tcW w:type="dxa" w:w="71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Ultra PRO business and technical teams; prospective and active integration partners</w:t>
            </w:r>
          </w:p>
        </w:tc>
      </w:tr>
      <w:tr>
        <w:trPr>
          <w:cantSplit w:val="true"/>
        </w:trPr>
        <w:tc>
          <w:tcPr>
            <w:tcW w:type="dxa" w:w="2200"/>
            <w:tcMar>
              <w:top w:w="90" w:type="dxa"/>
              <w:start w:w="120" w:type="dxa"/>
              <w:bottom w:w="90" w:type="dxa"/>
              <w:end w:w="120" w:type="dxa"/>
            </w:tcMar>
            <w:vAlign w:val="center"/>
          </w:tcPr>
          <w:p>
            <w:pPr>
              <w:spacing w:before="0" w:after="0" w:line="259" w:lineRule="auto"/>
            </w:pPr>
            <w:r>
              <w:rPr>
                <w:rFonts w:ascii="Arial" w:hAnsi="Arial" w:eastAsia="Arial"/>
                <w:color w:val="242524"/>
                <w:sz w:val="17"/>
              </w:rPr>
              <w:t>Applies to</w:t>
            </w:r>
          </w:p>
        </w:tc>
        <w:tc>
          <w:tcPr>
            <w:tcW w:type="dxa" w:w="7160"/>
            <w:tcMar>
              <w:top w:w="90" w:type="dxa"/>
              <w:start w:w="120" w:type="dxa"/>
              <w:bottom w:w="90" w:type="dxa"/>
              <w:end w:w="120" w:type="dxa"/>
            </w:tcMar>
            <w:vAlign w:val="center"/>
          </w:tcPr>
          <w:p>
            <w:pPr>
              <w:spacing w:before="0" w:after="0" w:line="259" w:lineRule="auto"/>
            </w:pPr>
            <w:r>
              <w:rPr>
                <w:rFonts w:ascii="Arial" w:hAnsi="Arial" w:eastAsia="Arial"/>
                <w:color w:val="242524"/>
                <w:sz w:val="17"/>
              </w:rPr>
              <w:t>New integrations, material scope expansions, platform migrations, and re-certifications</w:t>
            </w:r>
          </w:p>
        </w:tc>
      </w:tr>
      <w:tr>
        <w:trPr>
          <w:cantSplit w:val="true"/>
        </w:trPr>
        <w:tc>
          <w:tcPr>
            <w:tcW w:type="dxa" w:w="22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Review cadence</w:t>
            </w:r>
          </w:p>
        </w:tc>
        <w:tc>
          <w:tcPr>
            <w:tcW w:type="dxa" w:w="71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At least annually and after a material platform, control, or operating-model change</w:t>
            </w:r>
          </w:p>
        </w:tc>
      </w:tr>
      <w:tr>
        <w:trPr>
          <w:cantSplit w:val="true"/>
        </w:trPr>
        <w:tc>
          <w:tcPr>
            <w:tcW w:type="dxa" w:w="2200"/>
            <w:tcMar>
              <w:top w:w="90" w:type="dxa"/>
              <w:start w:w="120" w:type="dxa"/>
              <w:bottom w:w="90" w:type="dxa"/>
              <w:end w:w="120" w:type="dxa"/>
            </w:tcMar>
            <w:vAlign w:val="center"/>
          </w:tcPr>
          <w:p>
            <w:pPr>
              <w:spacing w:before="0" w:after="0" w:line="259" w:lineRule="auto"/>
            </w:pPr>
            <w:r>
              <w:rPr>
                <w:rFonts w:ascii="Arial" w:hAnsi="Arial" w:eastAsia="Arial"/>
                <w:color w:val="242524"/>
                <w:sz w:val="17"/>
              </w:rPr>
              <w:t>Public contact</w:t>
            </w:r>
          </w:p>
        </w:tc>
        <w:tc>
          <w:tcPr>
            <w:tcW w:type="dxa" w:w="7160"/>
            <w:tcMar>
              <w:top w:w="90" w:type="dxa"/>
              <w:start w:w="120" w:type="dxa"/>
              <w:bottom w:w="90" w:type="dxa"/>
              <w:end w:w="120" w:type="dxa"/>
            </w:tcMar>
            <w:vAlign w:val="center"/>
          </w:tcPr>
          <w:p>
            <w:pPr>
              <w:spacing w:before="0" w:after="0" w:line="259" w:lineRule="auto"/>
            </w:pPr>
            <w:r>
              <w:rPr>
                <w:rFonts w:ascii="Arial" w:hAnsi="Arial" w:eastAsia="Arial"/>
                <w:color w:val="242524"/>
                <w:sz w:val="17"/>
              </w:rPr>
              <w:t>edisupport@ultrapro.com</w:t>
            </w:r>
          </w:p>
        </w:tc>
      </w:tr>
      <w:tr>
        <w:trPr>
          <w:cantSplit w:val="true"/>
        </w:trPr>
        <w:tc>
          <w:tcPr>
            <w:tcW w:type="dxa" w:w="22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Classification</w:t>
            </w:r>
          </w:p>
        </w:tc>
        <w:tc>
          <w:tcPr>
            <w:tcW w:type="dxa" w:w="71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Partner-ready; do not add credentials, sensitive production data, or restricted audit evidence</w:t>
            </w:r>
          </w:p>
        </w:tc>
      </w:tr>
    </w:tbl>
    <w:p>
      <w:pPr>
        <w:spacing w:before="0" w:after="100"/>
      </w:pPr>
    </w:p>
    <w:p>
      <w:pPr>
        <w:pStyle w:val="Heading1"/>
        <w:keepNext/>
        <w:keepLines/>
      </w:pPr>
      <w:r>
        <w:rPr>
          <w:rFonts w:ascii="Arial" w:hAnsi="Arial" w:eastAsia="Arial"/>
          <w:b/>
          <w:color w:val="B22125"/>
          <w:sz w:val="36"/>
        </w:rPr>
        <w:t>Purpose and release condition</w:t>
      </w:r>
    </w:p>
    <w:p>
      <w:pPr>
        <w:spacing w:before="0" w:after="120" w:line="300" w:lineRule="auto"/>
      </w:pPr>
      <w:r>
        <w:rPr>
          <w:rFonts w:ascii="Arial" w:hAnsi="Arial" w:eastAsia="Arial"/>
          <w:i w:val="0"/>
          <w:color w:val="242524"/>
          <w:sz w:val="21"/>
        </w:rPr>
        <w:t>This workflow defines how an integration is qualified, designed, built, tested, approved, launched, stabilized, and transitioned. It provides the durable operating framework; each partner implementation also requires a scoped project record containing partner-specific documents, dates, owners, transaction sets or API objects, data rules, acceptance criteria, SLAs, and approvals.</w:t>
      </w:r>
    </w:p>
    <w:p>
      <w:pPr>
        <w:spacing w:before="160" w:after="200" w:line="276" w:lineRule="auto"/>
        <w:ind w:left="259" w:right="173"/>
        <w:shd w:fill="F1F1EF" w:val="clear"/>
        <w:pBdr>
          <w:left w:val="single" w:sz="20" w:space="10" w:color="B22125"/>
        </w:pBdr>
      </w:pPr>
      <w:r>
        <w:rPr>
          <w:rFonts w:ascii="Arial" w:hAnsi="Arial" w:eastAsia="Arial"/>
          <w:b/>
          <w:color w:val="070707"/>
          <w:sz w:val="20"/>
        </w:rPr>
        <w:t xml:space="preserve">Release condition: </w:t>
      </w:r>
      <w:r>
        <w:rPr>
          <w:rFonts w:ascii="Arial" w:hAnsi="Arial" w:eastAsia="Arial"/>
          <w:color w:val="242524"/>
          <w:sz w:val="20"/>
        </w:rPr>
        <w:t>No integration proceeds to production until partner guides and scope are approved; mapping and connectivity are proven; master data is ready; technical testing, partner certification, and business UAT are complete; operational owners, monitoring, rollback, and hypercare are confirmed; and the go/no-go record is approved.</w:t>
      </w:r>
    </w:p>
    <w:p>
      <w:pPr>
        <w:pStyle w:val="Heading2"/>
        <w:keepNext/>
        <w:keepLines/>
      </w:pPr>
      <w:r>
        <w:rPr>
          <w:rFonts w:ascii="Arial" w:hAnsi="Arial" w:eastAsia="Arial"/>
          <w:b/>
          <w:color w:val="B22125"/>
          <w:sz w:val="27"/>
        </w:rPr>
        <w:t>How to use this guide</w:t>
      </w:r>
    </w:p>
    <w:p>
      <w:pPr>
        <w:spacing w:after="80" w:line="300" w:lineRule="auto"/>
        <w:numPr>
          <w:ilvl w:val="0"/>
          <w:numId w:val="11"/>
        </w:numPr>
      </w:pPr>
      <w:r>
        <w:rPr>
          <w:rFonts w:ascii="Arial" w:hAnsi="Arial" w:eastAsia="Arial"/>
          <w:color w:val="242524"/>
          <w:sz w:val="21"/>
        </w:rPr>
        <w:t>Use Sections 1-3 to identify the lane, systems, ownership model, and delivery gates.</w:t>
      </w:r>
    </w:p>
    <w:p>
      <w:pPr>
        <w:spacing w:after="80" w:line="300" w:lineRule="auto"/>
        <w:numPr>
          <w:ilvl w:val="0"/>
          <w:numId w:val="11"/>
        </w:numPr>
      </w:pPr>
      <w:r>
        <w:rPr>
          <w:rFonts w:ascii="Arial" w:hAnsi="Arial" w:eastAsia="Arial"/>
          <w:color w:val="242524"/>
          <w:sz w:val="21"/>
        </w:rPr>
        <w:t>Use Section 4 as the phase-by-phase execution playbook and evidence checklist.</w:t>
      </w:r>
    </w:p>
    <w:p>
      <w:pPr>
        <w:spacing w:after="80" w:line="300" w:lineRule="auto"/>
        <w:numPr>
          <w:ilvl w:val="0"/>
          <w:numId w:val="11"/>
        </w:numPr>
      </w:pPr>
      <w:r>
        <w:rPr>
          <w:rFonts w:ascii="Arial" w:hAnsi="Arial" w:eastAsia="Arial"/>
          <w:color w:val="242524"/>
          <w:sz w:val="21"/>
        </w:rPr>
        <w:t>Use Sections 5-8 for mapping, testing, security, cutover, operations, and KPI decisions.</w:t>
      </w:r>
    </w:p>
    <w:p>
      <w:pPr>
        <w:spacing w:after="80" w:line="300" w:lineRule="auto"/>
        <w:numPr>
          <w:ilvl w:val="0"/>
          <w:numId w:val="11"/>
        </w:numPr>
      </w:pPr>
      <w:r>
        <w:rPr>
          <w:rFonts w:ascii="Arial" w:hAnsi="Arial" w:eastAsia="Arial"/>
          <w:color w:val="242524"/>
          <w:sz w:val="21"/>
        </w:rPr>
        <w:t>Use the appendices as the partner intake, mapping, UAT, go/no-go, and hypercare working records.</w:t>
      </w:r>
    </w:p>
    <w:p>
      <w:pPr>
        <w:spacing w:after="80" w:line="300" w:lineRule="auto"/>
        <w:numPr>
          <w:ilvl w:val="0"/>
          <w:numId w:val="11"/>
        </w:numPr>
      </w:pPr>
      <w:r>
        <w:rPr>
          <w:rFonts w:ascii="Arial" w:hAnsi="Arial" w:eastAsia="Arial"/>
          <w:color w:val="242524"/>
          <w:sz w:val="21"/>
        </w:rPr>
        <w:t>Record unresolved partner-specific decisions in the project tracker; do not weaken a gate by leaving it implicit.</w:t>
      </w:r>
    </w:p>
    <w:p>
      <w:pPr>
        <w:pStyle w:val="Heading1"/>
        <w:keepNext/>
        <w:keepLines/>
      </w:pPr>
      <w:r>
        <w:rPr>
          <w:rFonts w:ascii="Arial" w:hAnsi="Arial" w:eastAsia="Arial"/>
          <w:b/>
          <w:color w:val="B22125"/>
          <w:sz w:val="36"/>
        </w:rPr>
        <w:t>Contents</w:t>
      </w:r>
    </w:p>
    <w:p>
      <w:pPr>
        <w:spacing w:after="80" w:line="300" w:lineRule="auto"/>
        <w:numPr>
          <w:ilvl w:val="0"/>
          <w:numId w:val="10"/>
        </w:numPr>
      </w:pPr>
      <w:r>
        <w:rPr>
          <w:rFonts w:ascii="Arial" w:hAnsi="Arial" w:eastAsia="Arial"/>
          <w:color w:val="242524"/>
          <w:sz w:val="21"/>
        </w:rPr>
        <w:t>1. Integration operating model</w:t>
      </w:r>
    </w:p>
    <w:p>
      <w:pPr>
        <w:spacing w:after="80" w:line="300" w:lineRule="auto"/>
        <w:numPr>
          <w:ilvl w:val="0"/>
          <w:numId w:val="10"/>
        </w:numPr>
      </w:pPr>
      <w:r>
        <w:rPr>
          <w:rFonts w:ascii="Arial" w:hAnsi="Arial" w:eastAsia="Arial"/>
          <w:color w:val="242524"/>
          <w:sz w:val="21"/>
        </w:rPr>
        <w:t>2. Roles and responsibility model</w:t>
      </w:r>
    </w:p>
    <w:p>
      <w:pPr>
        <w:spacing w:after="80" w:line="300" w:lineRule="auto"/>
        <w:numPr>
          <w:ilvl w:val="0"/>
          <w:numId w:val="10"/>
        </w:numPr>
      </w:pPr>
      <w:r>
        <w:rPr>
          <w:rFonts w:ascii="Arial" w:hAnsi="Arial" w:eastAsia="Arial"/>
          <w:color w:val="242524"/>
          <w:sz w:val="21"/>
        </w:rPr>
        <w:t>3. Lifecycle summary and planning ranges</w:t>
      </w:r>
    </w:p>
    <w:p>
      <w:pPr>
        <w:spacing w:after="80" w:line="300" w:lineRule="auto"/>
        <w:numPr>
          <w:ilvl w:val="0"/>
          <w:numId w:val="10"/>
        </w:numPr>
      </w:pPr>
      <w:r>
        <w:rPr>
          <w:rFonts w:ascii="Arial" w:hAnsi="Arial" w:eastAsia="Arial"/>
          <w:color w:val="242524"/>
          <w:sz w:val="21"/>
        </w:rPr>
        <w:t>4. Phase-by-phase execution playbook</w:t>
      </w:r>
    </w:p>
    <w:p>
      <w:pPr>
        <w:spacing w:after="80" w:line="300" w:lineRule="auto"/>
        <w:numPr>
          <w:ilvl w:val="0"/>
          <w:numId w:val="10"/>
        </w:numPr>
      </w:pPr>
      <w:r>
        <w:rPr>
          <w:rFonts w:ascii="Arial" w:hAnsi="Arial" w:eastAsia="Arial"/>
          <w:color w:val="242524"/>
          <w:sz w:val="21"/>
        </w:rPr>
        <w:t>5. Integration patterns and examples</w:t>
      </w:r>
    </w:p>
    <w:p>
      <w:pPr>
        <w:spacing w:after="80" w:line="300" w:lineRule="auto"/>
        <w:numPr>
          <w:ilvl w:val="0"/>
          <w:numId w:val="10"/>
        </w:numPr>
      </w:pPr>
      <w:r>
        <w:rPr>
          <w:rFonts w:ascii="Arial" w:hAnsi="Arial" w:eastAsia="Arial"/>
          <w:color w:val="242524"/>
          <w:sz w:val="21"/>
        </w:rPr>
        <w:t>6. Testing and business acceptance</w:t>
      </w:r>
    </w:p>
    <w:p>
      <w:pPr>
        <w:spacing w:after="80" w:line="300" w:lineRule="auto"/>
        <w:numPr>
          <w:ilvl w:val="0"/>
          <w:numId w:val="10"/>
        </w:numPr>
      </w:pPr>
      <w:r>
        <w:rPr>
          <w:rFonts w:ascii="Arial" w:hAnsi="Arial" w:eastAsia="Arial"/>
          <w:color w:val="242524"/>
          <w:sz w:val="21"/>
        </w:rPr>
        <w:t>7. Security, privacy, and trust</w:t>
      </w:r>
    </w:p>
    <w:p>
      <w:pPr>
        <w:spacing w:after="80" w:line="300" w:lineRule="auto"/>
        <w:numPr>
          <w:ilvl w:val="0"/>
          <w:numId w:val="10"/>
        </w:numPr>
      </w:pPr>
      <w:r>
        <w:rPr>
          <w:rFonts w:ascii="Arial" w:hAnsi="Arial" w:eastAsia="Arial"/>
          <w:color w:val="242524"/>
          <w:sz w:val="21"/>
        </w:rPr>
        <w:t>8. Cutover, hypercare, and steady-state support</w:t>
      </w:r>
    </w:p>
    <w:p>
      <w:pPr>
        <w:spacing w:after="80" w:line="300" w:lineRule="auto"/>
        <w:numPr>
          <w:ilvl w:val="0"/>
          <w:numId w:val="10"/>
        </w:numPr>
      </w:pPr>
      <w:r>
        <w:rPr>
          <w:rFonts w:ascii="Arial" w:hAnsi="Arial" w:eastAsia="Arial"/>
          <w:color w:val="242524"/>
          <w:sz w:val="21"/>
        </w:rPr>
        <w:t>9. Metrics and service management</w:t>
      </w:r>
    </w:p>
    <w:p>
      <w:pPr>
        <w:spacing w:after="80" w:line="300" w:lineRule="auto"/>
        <w:numPr>
          <w:ilvl w:val="0"/>
          <w:numId w:val="10"/>
        </w:numPr>
      </w:pPr>
      <w:r>
        <w:rPr>
          <w:rFonts w:ascii="Arial" w:hAnsi="Arial" w:eastAsia="Arial"/>
          <w:color w:val="242524"/>
          <w:sz w:val="21"/>
        </w:rPr>
        <w:t>Appendices A-E: intake, mapping, UAT, cutover, and partner quick start</w:t>
      </w:r>
    </w:p>
    <w:p>
      <w:r>
        <w:br w:type="page"/>
      </w:r>
    </w:p>
    <w:p>
      <w:pPr>
        <w:pStyle w:val="Heading1"/>
        <w:keepNext/>
        <w:keepLines/>
      </w:pPr>
      <w:r>
        <w:rPr>
          <w:rFonts w:ascii="Arial" w:hAnsi="Arial" w:eastAsia="Arial"/>
          <w:b/>
          <w:color w:val="B22125"/>
          <w:sz w:val="36"/>
        </w:rPr>
        <w:t>1. Integration operating model</w:t>
      </w:r>
    </w:p>
    <w:p>
      <w:pPr>
        <w:pStyle w:val="Heading2"/>
        <w:keepNext/>
        <w:keepLines/>
      </w:pPr>
      <w:r>
        <w:rPr>
          <w:rFonts w:ascii="Arial" w:hAnsi="Arial" w:eastAsia="Arial"/>
          <w:b/>
          <w:color w:val="B22125"/>
          <w:sz w:val="27"/>
        </w:rPr>
        <w:t>1.1 Three integration lanes</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1300"/>
        <w:gridCol w:w="2100"/>
        <w:gridCol w:w="2980"/>
        <w:gridCol w:w="2980"/>
      </w:tblGrid>
      <w:tr>
        <w:trPr>
          <w:tblHeader w:val="true"/>
          <w:cantSplit w:val="true"/>
        </w:trPr>
        <w:tc>
          <w:tcPr>
            <w:tcW w:type="dxa" w:w="13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Lane</w:t>
            </w:r>
          </w:p>
        </w:tc>
        <w:tc>
          <w:tcPr>
            <w:tcW w:type="dxa" w:w="21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Best fit</w:t>
            </w:r>
          </w:p>
        </w:tc>
        <w:tc>
          <w:tcPr>
            <w:tcW w:type="dxa" w:w="298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Common patterns</w:t>
            </w:r>
          </w:p>
        </w:tc>
        <w:tc>
          <w:tcPr>
            <w:tcW w:type="dxa" w:w="298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Primary controls</w:t>
            </w:r>
          </w:p>
        </w:tc>
      </w:tr>
      <w:tr>
        <w:trPr>
          <w:cantSplit w:val="true"/>
        </w:trPr>
        <w:tc>
          <w:tcPr>
            <w:tcW w:type="dxa" w:w="1300"/>
            <w:tcMar>
              <w:top w:w="90" w:type="dxa"/>
              <w:start w:w="120" w:type="dxa"/>
              <w:bottom w:w="90" w:type="dxa"/>
              <w:end w:w="120" w:type="dxa"/>
            </w:tcMar>
            <w:vAlign w:val="center"/>
          </w:tcPr>
          <w:p>
            <w:pPr>
              <w:spacing w:before="0" w:after="0" w:line="259" w:lineRule="auto"/>
            </w:pPr>
            <w:r>
              <w:rPr>
                <w:rFonts w:ascii="Arial" w:hAnsi="Arial" w:eastAsia="Arial"/>
                <w:color w:val="242524"/>
                <w:sz w:val="16"/>
              </w:rPr>
              <w:t>A - X12 / EDI</w:t>
            </w:r>
          </w:p>
        </w:tc>
        <w:tc>
          <w:tcPr>
            <w:tcW w:type="dxa" w:w="2100"/>
            <w:tcMar>
              <w:top w:w="90" w:type="dxa"/>
              <w:start w:w="120" w:type="dxa"/>
              <w:bottom w:w="90" w:type="dxa"/>
              <w:end w:w="120" w:type="dxa"/>
            </w:tcMar>
            <w:vAlign w:val="center"/>
          </w:tcPr>
          <w:p>
            <w:pPr>
              <w:spacing w:before="0" w:after="0" w:line="259" w:lineRule="auto"/>
            </w:pPr>
            <w:r>
              <w:rPr>
                <w:rFonts w:ascii="Arial" w:hAnsi="Arial" w:eastAsia="Arial"/>
                <w:color w:val="242524"/>
                <w:sz w:val="16"/>
              </w:rPr>
              <w:t>Retail and supply-chain standards with partner certification</w:t>
            </w:r>
          </w:p>
        </w:tc>
        <w:tc>
          <w:tcPr>
            <w:tcW w:type="dxa" w:w="2980"/>
            <w:tcMar>
              <w:top w:w="90" w:type="dxa"/>
              <w:start w:w="120" w:type="dxa"/>
              <w:bottom w:w="90" w:type="dxa"/>
              <w:end w:w="120" w:type="dxa"/>
            </w:tcMar>
            <w:vAlign w:val="center"/>
          </w:tcPr>
          <w:p>
            <w:pPr>
              <w:spacing w:before="0" w:after="0" w:line="259" w:lineRule="auto"/>
            </w:pPr>
            <w:r>
              <w:rPr>
                <w:rFonts w:ascii="Arial" w:hAnsi="Arial" w:eastAsia="Arial"/>
                <w:color w:val="242524"/>
                <w:sz w:val="16"/>
              </w:rPr>
              <w:t>850, 855, 856, 810, 846, 860/865, 997/999; AS2 or SFTP</w:t>
            </w:r>
          </w:p>
        </w:tc>
        <w:tc>
          <w:tcPr>
            <w:tcW w:type="dxa" w:w="2980"/>
            <w:tcMar>
              <w:top w:w="90" w:type="dxa"/>
              <w:start w:w="120" w:type="dxa"/>
              <w:bottom w:w="90" w:type="dxa"/>
              <w:end w:w="120" w:type="dxa"/>
            </w:tcMar>
            <w:vAlign w:val="center"/>
          </w:tcPr>
          <w:p>
            <w:pPr>
              <w:spacing w:before="0" w:after="0" w:line="259" w:lineRule="auto"/>
            </w:pPr>
            <w:r>
              <w:rPr>
                <w:rFonts w:ascii="Arial" w:hAnsi="Arial" w:eastAsia="Arial"/>
                <w:color w:val="242524"/>
                <w:sz w:val="16"/>
              </w:rPr>
              <w:t>Partner guide, envelope IDs, acknowledgments, control numbers, compliance clocks</w:t>
            </w:r>
          </w:p>
        </w:tc>
      </w:tr>
      <w:tr>
        <w:trPr>
          <w:cantSplit w:val="true"/>
        </w:trPr>
        <w:tc>
          <w:tcPr>
            <w:tcW w:type="dxa" w:w="13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B - API / marketplace</w:t>
            </w:r>
          </w:p>
        </w:tc>
        <w:tc>
          <w:tcPr>
            <w:tcW w:type="dxa" w:w="21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Business-object integration and platform APIs</w:t>
            </w:r>
          </w:p>
        </w:tc>
        <w:tc>
          <w:tcPr>
            <w:tcW w:type="dxa" w:w="298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Orders, inventory, items, shipments, returns, settlements; REST/JSON and webhooks</w:t>
            </w:r>
          </w:p>
        </w:tc>
        <w:tc>
          <w:tcPr>
            <w:tcW w:type="dxa" w:w="298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API contract, authentication, rate limits, idempotency, pagination, webhook verification</w:t>
            </w:r>
          </w:p>
        </w:tc>
      </w:tr>
      <w:tr>
        <w:trPr>
          <w:cantSplit w:val="true"/>
        </w:trPr>
        <w:tc>
          <w:tcPr>
            <w:tcW w:type="dxa" w:w="1300"/>
            <w:tcMar>
              <w:top w:w="90" w:type="dxa"/>
              <w:start w:w="120" w:type="dxa"/>
              <w:bottom w:w="90" w:type="dxa"/>
              <w:end w:w="120" w:type="dxa"/>
            </w:tcMar>
            <w:vAlign w:val="center"/>
          </w:tcPr>
          <w:p>
            <w:pPr>
              <w:spacing w:before="0" w:after="0" w:line="259" w:lineRule="auto"/>
            </w:pPr>
            <w:r>
              <w:rPr>
                <w:rFonts w:ascii="Arial" w:hAnsi="Arial" w:eastAsia="Arial"/>
                <w:color w:val="242524"/>
                <w:sz w:val="16"/>
              </w:rPr>
              <w:t>C - Managed file transfer</w:t>
            </w:r>
          </w:p>
        </w:tc>
        <w:tc>
          <w:tcPr>
            <w:tcW w:type="dxa" w:w="2100"/>
            <w:tcMar>
              <w:top w:w="90" w:type="dxa"/>
              <w:start w:w="120" w:type="dxa"/>
              <w:bottom w:w="90" w:type="dxa"/>
              <w:end w:w="120" w:type="dxa"/>
            </w:tcMar>
            <w:vAlign w:val="center"/>
          </w:tcPr>
          <w:p>
            <w:pPr>
              <w:spacing w:before="0" w:after="0" w:line="259" w:lineRule="auto"/>
            </w:pPr>
            <w:r>
              <w:rPr>
                <w:rFonts w:ascii="Arial" w:hAnsi="Arial" w:eastAsia="Arial"/>
                <w:color w:val="242524"/>
                <w:sz w:val="16"/>
              </w:rPr>
              <w:t>Scheduled structured exchange without a direct API or classic EDI program</w:t>
            </w:r>
          </w:p>
        </w:tc>
        <w:tc>
          <w:tcPr>
            <w:tcW w:type="dxa" w:w="2980"/>
            <w:tcMar>
              <w:top w:w="90" w:type="dxa"/>
              <w:start w:w="120" w:type="dxa"/>
              <w:bottom w:w="90" w:type="dxa"/>
              <w:end w:w="120" w:type="dxa"/>
            </w:tcMar>
            <w:vAlign w:val="center"/>
          </w:tcPr>
          <w:p>
            <w:pPr>
              <w:spacing w:before="0" w:after="0" w:line="259" w:lineRule="auto"/>
            </w:pPr>
            <w:r>
              <w:rPr>
                <w:rFonts w:ascii="Arial" w:hAnsi="Arial" w:eastAsia="Arial"/>
                <w:color w:val="242524"/>
                <w:sz w:val="16"/>
              </w:rPr>
              <w:t>CSV, XML, JSON, fixed width over SFTP</w:t>
            </w:r>
          </w:p>
        </w:tc>
        <w:tc>
          <w:tcPr>
            <w:tcW w:type="dxa" w:w="2980"/>
            <w:tcMar>
              <w:top w:w="90" w:type="dxa"/>
              <w:start w:w="120" w:type="dxa"/>
              <w:bottom w:w="90" w:type="dxa"/>
              <w:end w:w="120" w:type="dxa"/>
            </w:tcMar>
            <w:vAlign w:val="center"/>
          </w:tcPr>
          <w:p>
            <w:pPr>
              <w:spacing w:before="0" w:after="0" w:line="259" w:lineRule="auto"/>
            </w:pPr>
            <w:r>
              <w:rPr>
                <w:rFonts w:ascii="Arial" w:hAnsi="Arial" w:eastAsia="Arial"/>
                <w:color w:val="242524"/>
                <w:sz w:val="16"/>
              </w:rPr>
              <w:t>Naming, schema, control totals, encryption, archive, retry, quarantine, reconciliation</w:t>
            </w:r>
          </w:p>
        </w:tc>
      </w:tr>
    </w:tbl>
    <w:p>
      <w:pPr>
        <w:spacing w:before="0" w:after="100"/>
      </w:pPr>
    </w:p>
    <w:p>
      <w:pPr>
        <w:spacing w:before="160" w:after="200" w:line="276" w:lineRule="auto"/>
        <w:ind w:left="259" w:right="173"/>
        <w:shd w:fill="F1F1EF" w:val="clear"/>
        <w:pBdr>
          <w:left w:val="single" w:sz="20" w:space="10" w:color="B22125"/>
        </w:pBdr>
      </w:pPr>
      <w:r>
        <w:rPr>
          <w:rFonts w:ascii="Arial" w:hAnsi="Arial" w:eastAsia="Arial"/>
          <w:b/>
          <w:color w:val="070707"/>
          <w:sz w:val="20"/>
        </w:rPr>
        <w:t xml:space="preserve">Hybrid implementations: </w:t>
      </w:r>
      <w:r>
        <w:rPr>
          <w:rFonts w:ascii="Arial" w:hAnsi="Arial" w:eastAsia="Arial"/>
          <w:color w:val="242524"/>
          <w:sz w:val="20"/>
        </w:rPr>
        <w:t>A single partner may use multiple lanes-for example X12 orders and invoices, an API for inventory, and SFTP for catalog or settlement files. Each flow receives its own owner, acceptance criteria, monitoring, and recovery path.</w:t>
      </w:r>
    </w:p>
    <w:p>
      <w:pPr>
        <w:pStyle w:val="Heading2"/>
        <w:keepNext/>
        <w:keepLines/>
      </w:pPr>
      <w:r>
        <w:rPr>
          <w:rFonts w:ascii="Arial" w:hAnsi="Arial" w:eastAsia="Arial"/>
          <w:b/>
          <w:color w:val="B22125"/>
          <w:sz w:val="27"/>
        </w:rPr>
        <w:t>1.2 Environment and system touchpoints</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1800"/>
        <w:gridCol w:w="3600"/>
        <w:gridCol w:w="3960"/>
      </w:tblGrid>
      <w:tr>
        <w:trPr>
          <w:tblHeader w:val="true"/>
          <w:cantSplit w:val="true"/>
        </w:trPr>
        <w:tc>
          <w:tcPr>
            <w:tcW w:type="dxa" w:w="18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Layer</w:t>
            </w:r>
          </w:p>
        </w:tc>
        <w:tc>
          <w:tcPr>
            <w:tcW w:type="dxa" w:w="36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Ultra PRO environment role</w:t>
            </w:r>
          </w:p>
        </w:tc>
        <w:tc>
          <w:tcPr>
            <w:tcW w:type="dxa" w:w="39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Onboarding decisions</w:t>
            </w:r>
          </w:p>
        </w:tc>
      </w:tr>
      <w:tr>
        <w:trPr>
          <w:cantSplit w:val="true"/>
        </w:trPr>
        <w:tc>
          <w:tcPr>
            <w:tcW w:type="dxa" w:w="1800"/>
            <w:tcMar>
              <w:top w:w="90" w:type="dxa"/>
              <w:start w:w="120" w:type="dxa"/>
              <w:bottom w:w="90" w:type="dxa"/>
              <w:end w:w="120" w:type="dxa"/>
            </w:tcMar>
            <w:vAlign w:val="center"/>
          </w:tcPr>
          <w:p>
            <w:pPr>
              <w:spacing w:before="0" w:after="0" w:line="259" w:lineRule="auto"/>
            </w:pPr>
            <w:r>
              <w:rPr>
                <w:rFonts w:ascii="Arial" w:hAnsi="Arial" w:eastAsia="Arial"/>
                <w:color w:val="242524"/>
                <w:sz w:val="16"/>
              </w:rPr>
              <w:t>Microsoft 365</w:t>
            </w:r>
          </w:p>
        </w:tc>
        <w:tc>
          <w:tcPr>
            <w:tcW w:type="dxa" w:w="3600"/>
            <w:tcMar>
              <w:top w:w="90" w:type="dxa"/>
              <w:start w:w="120" w:type="dxa"/>
              <w:bottom w:w="90" w:type="dxa"/>
              <w:end w:w="120" w:type="dxa"/>
            </w:tcMar>
            <w:vAlign w:val="center"/>
          </w:tcPr>
          <w:p>
            <w:pPr>
              <w:spacing w:before="0" w:after="0" w:line="259" w:lineRule="auto"/>
            </w:pPr>
            <w:r>
              <w:rPr>
                <w:rFonts w:ascii="Arial" w:hAnsi="Arial" w:eastAsia="Arial"/>
                <w:color w:val="242524"/>
                <w:sz w:val="16"/>
              </w:rPr>
              <w:t>Outlook/Bookings for scheduling; Teams and approved M365 locations for collaboration, meeting evidence, decisions, and partner artifacts</w:t>
            </w:r>
          </w:p>
        </w:tc>
        <w:tc>
          <w:tcPr>
            <w:tcW w:type="dxa" w:w="3960"/>
            <w:tcMar>
              <w:top w:w="90" w:type="dxa"/>
              <w:start w:w="120" w:type="dxa"/>
              <w:bottom w:w="90" w:type="dxa"/>
              <w:end w:w="120" w:type="dxa"/>
            </w:tcMar>
            <w:vAlign w:val="center"/>
          </w:tcPr>
          <w:p>
            <w:pPr>
              <w:spacing w:before="0" w:after="0" w:line="259" w:lineRule="auto"/>
            </w:pPr>
            <w:r>
              <w:rPr>
                <w:rFonts w:ascii="Arial" w:hAnsi="Arial" w:eastAsia="Arial"/>
                <w:color w:val="242524"/>
                <w:sz w:val="16"/>
              </w:rPr>
              <w:t>Meeting cadence, authorized participants, artifact owner, retention location, escalation channel</w:t>
            </w:r>
          </w:p>
        </w:tc>
      </w:tr>
      <w:tr>
        <w:trPr>
          <w:cantSplit w:val="true"/>
        </w:trPr>
        <w:tc>
          <w:tcPr>
            <w:tcW w:type="dxa" w:w="18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Cleo Integration Cloud</w:t>
            </w:r>
          </w:p>
        </w:tc>
        <w:tc>
          <w:tcPr>
            <w:tcW w:type="dxa" w:w="36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Managed connectivity, translation, validation, routing, monitoring, and operational visibility where applicable</w:t>
            </w:r>
          </w:p>
        </w:tc>
        <w:tc>
          <w:tcPr>
            <w:tcW w:type="dxa" w:w="39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Endpoint, connector, AS2/SFTP settings, maps, routes, monitor/trigger design, alerting, reprocessing</w:t>
            </w:r>
          </w:p>
        </w:tc>
      </w:tr>
      <w:tr>
        <w:trPr>
          <w:cantSplit w:val="true"/>
        </w:trPr>
        <w:tc>
          <w:tcPr>
            <w:tcW w:type="dxa" w:w="1800"/>
            <w:tcMar>
              <w:top w:w="90" w:type="dxa"/>
              <w:start w:w="120" w:type="dxa"/>
              <w:bottom w:w="90" w:type="dxa"/>
              <w:end w:w="120" w:type="dxa"/>
            </w:tcMar>
            <w:vAlign w:val="center"/>
          </w:tcPr>
          <w:p>
            <w:pPr>
              <w:spacing w:before="0" w:after="0" w:line="259" w:lineRule="auto"/>
            </w:pPr>
            <w:r>
              <w:rPr>
                <w:rFonts w:ascii="Arial" w:hAnsi="Arial" w:eastAsia="Arial"/>
                <w:color w:val="242524"/>
                <w:sz w:val="16"/>
              </w:rPr>
              <w:t>ERPNext</w:t>
            </w:r>
          </w:p>
        </w:tc>
        <w:tc>
          <w:tcPr>
            <w:tcW w:type="dxa" w:w="3600"/>
            <w:tcMar>
              <w:top w:w="90" w:type="dxa"/>
              <w:start w:w="120" w:type="dxa"/>
              <w:bottom w:w="90" w:type="dxa"/>
              <w:end w:w="120" w:type="dxa"/>
            </w:tcMar>
            <w:vAlign w:val="center"/>
          </w:tcPr>
          <w:p>
            <w:pPr>
              <w:spacing w:before="0" w:after="0" w:line="259" w:lineRule="auto"/>
            </w:pPr>
            <w:r>
              <w:rPr>
                <w:rFonts w:ascii="Arial" w:hAnsi="Arial" w:eastAsia="Arial"/>
                <w:color w:val="242524"/>
                <w:sz w:val="16"/>
              </w:rPr>
              <w:t>Primary business-system touchpoint for customer/vendor, item, order, inventory, fulfillment, invoice, and related master data</w:t>
            </w:r>
          </w:p>
        </w:tc>
        <w:tc>
          <w:tcPr>
            <w:tcW w:type="dxa" w:w="3960"/>
            <w:tcMar>
              <w:top w:w="90" w:type="dxa"/>
              <w:start w:w="120" w:type="dxa"/>
              <w:bottom w:w="90" w:type="dxa"/>
              <w:end w:w="120" w:type="dxa"/>
            </w:tcMar>
            <w:vAlign w:val="center"/>
          </w:tcPr>
          <w:p>
            <w:pPr>
              <w:spacing w:before="0" w:after="0" w:line="259" w:lineRule="auto"/>
            </w:pPr>
            <w:r>
              <w:rPr>
                <w:rFonts w:ascii="Arial" w:hAnsi="Arial" w:eastAsia="Arial"/>
                <w:color w:val="242524"/>
                <w:sz w:val="16"/>
              </w:rPr>
              <w:t>Doctype/API, required fields, status transitions, cross-references, warehouse/UOM logic, error behavior</w:t>
            </w:r>
          </w:p>
        </w:tc>
      </w:tr>
      <w:tr>
        <w:trPr>
          <w:cantSplit w:val="true"/>
        </w:trPr>
        <w:tc>
          <w:tcPr>
            <w:tcW w:type="dxa" w:w="18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Partner platforms</w:t>
            </w:r>
          </w:p>
        </w:tc>
        <w:tc>
          <w:tcPr>
            <w:tcW w:type="dxa" w:w="36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Partner EDI gateways, APIs, portals, marketplaces, WMS/TMS/3PL systems, or secure file endpoints</w:t>
            </w:r>
          </w:p>
        </w:tc>
        <w:tc>
          <w:tcPr>
            <w:tcW w:type="dxa" w:w="39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Implementation guide, test tenant, certification cases, identifiers, rate/volume constraints, support contacts</w:t>
            </w:r>
          </w:p>
        </w:tc>
      </w:tr>
      <w:tr>
        <w:trPr>
          <w:cantSplit w:val="true"/>
        </w:trPr>
        <w:tc>
          <w:tcPr>
            <w:tcW w:type="dxa" w:w="1800"/>
            <w:tcMar>
              <w:top w:w="90" w:type="dxa"/>
              <w:start w:w="120" w:type="dxa"/>
              <w:bottom w:w="90" w:type="dxa"/>
              <w:end w:w="120" w:type="dxa"/>
            </w:tcMar>
            <w:vAlign w:val="center"/>
          </w:tcPr>
          <w:p>
            <w:pPr>
              <w:spacing w:before="0" w:after="0" w:line="259" w:lineRule="auto"/>
            </w:pPr>
            <w:r>
              <w:rPr>
                <w:rFonts w:ascii="Arial" w:hAnsi="Arial" w:eastAsia="Arial"/>
                <w:color w:val="242524"/>
                <w:sz w:val="16"/>
              </w:rPr>
              <w:t>Operational teams</w:t>
            </w:r>
          </w:p>
        </w:tc>
        <w:tc>
          <w:tcPr>
            <w:tcW w:type="dxa" w:w="3600"/>
            <w:tcMar>
              <w:top w:w="90" w:type="dxa"/>
              <w:start w:w="120" w:type="dxa"/>
              <w:bottom w:w="90" w:type="dxa"/>
              <w:end w:w="120" w:type="dxa"/>
            </w:tcMar>
            <w:vAlign w:val="center"/>
          </w:tcPr>
          <w:p>
            <w:pPr>
              <w:spacing w:before="0" w:after="0" w:line="259" w:lineRule="auto"/>
            </w:pPr>
            <w:r>
              <w:rPr>
                <w:rFonts w:ascii="Arial" w:hAnsi="Arial" w:eastAsia="Arial"/>
                <w:color w:val="242524"/>
                <w:sz w:val="16"/>
              </w:rPr>
              <w:t>EDI Support, IT/application owners, eCommerce, Sales, Operations, Finance, and other owners resolve exceptions by responsibility</w:t>
            </w:r>
          </w:p>
        </w:tc>
        <w:tc>
          <w:tcPr>
            <w:tcW w:type="dxa" w:w="3960"/>
            <w:tcMar>
              <w:top w:w="90" w:type="dxa"/>
              <w:start w:w="120" w:type="dxa"/>
              <w:bottom w:w="90" w:type="dxa"/>
              <w:end w:w="120" w:type="dxa"/>
            </w:tcMar>
            <w:vAlign w:val="center"/>
          </w:tcPr>
          <w:p>
            <w:pPr>
              <w:spacing w:before="0" w:after="0" w:line="259" w:lineRule="auto"/>
            </w:pPr>
            <w:r>
              <w:rPr>
                <w:rFonts w:ascii="Arial" w:hAnsi="Arial" w:eastAsia="Arial"/>
                <w:color w:val="242524"/>
                <w:sz w:val="16"/>
              </w:rPr>
              <w:t>Named owner, service hours, aging target, escalation, manual fallback, recovery approval</w:t>
            </w:r>
          </w:p>
        </w:tc>
      </w:tr>
    </w:tbl>
    <w:p>
      <w:pPr>
        <w:spacing w:before="0" w:after="100"/>
      </w:pPr>
    </w:p>
    <w:p>
      <w:pPr>
        <w:pStyle w:val="Heading2"/>
        <w:keepNext/>
        <w:keepLines/>
      </w:pPr>
      <w:r>
        <w:rPr>
          <w:rFonts w:ascii="Arial" w:hAnsi="Arial" w:eastAsia="Arial"/>
          <w:b/>
          <w:color w:val="B22125"/>
          <w:sz w:val="27"/>
        </w:rPr>
        <w:t>1.3 Data flow and exception principles</w:t>
      </w:r>
    </w:p>
    <w:p>
      <w:pPr>
        <w:spacing w:after="80" w:line="300" w:lineRule="auto"/>
        <w:numPr>
          <w:ilvl w:val="0"/>
          <w:numId w:val="10"/>
        </w:numPr>
      </w:pPr>
      <w:r>
        <w:rPr>
          <w:rFonts w:ascii="Arial" w:hAnsi="Arial" w:eastAsia="Arial"/>
          <w:color w:val="242524"/>
          <w:sz w:val="21"/>
        </w:rPr>
        <w:t>Validate transport, syntax, identity, schema, required business fields, and master-data references before committing a business transaction.</w:t>
      </w:r>
    </w:p>
    <w:p>
      <w:pPr>
        <w:spacing w:after="80" w:line="300" w:lineRule="auto"/>
        <w:numPr>
          <w:ilvl w:val="0"/>
          <w:numId w:val="10"/>
        </w:numPr>
      </w:pPr>
      <w:r>
        <w:rPr>
          <w:rFonts w:ascii="Arial" w:hAnsi="Arial" w:eastAsia="Arial"/>
          <w:color w:val="242524"/>
          <w:sz w:val="21"/>
        </w:rPr>
        <w:t>Reject, quarantine, or hold unknown or invalid values according to the agreed business rule; never silently coerce material identifiers.</w:t>
      </w:r>
    </w:p>
    <w:p>
      <w:pPr>
        <w:spacing w:after="80" w:line="300" w:lineRule="auto"/>
        <w:numPr>
          <w:ilvl w:val="0"/>
          <w:numId w:val="10"/>
        </w:numPr>
      </w:pPr>
      <w:r>
        <w:rPr>
          <w:rFonts w:ascii="Arial" w:hAnsi="Arial" w:eastAsia="Arial"/>
          <w:color w:val="242524"/>
          <w:sz w:val="21"/>
        </w:rPr>
        <w:t>Preserve the original partner message, translated representation, ERPNext or application result, acknowledgment, correlation identifier, and recovery history as applicable.</w:t>
      </w:r>
    </w:p>
    <w:p>
      <w:pPr>
        <w:spacing w:after="80" w:line="300" w:lineRule="auto"/>
        <w:numPr>
          <w:ilvl w:val="0"/>
          <w:numId w:val="10"/>
        </w:numPr>
      </w:pPr>
      <w:r>
        <w:rPr>
          <w:rFonts w:ascii="Arial" w:hAnsi="Arial" w:eastAsia="Arial"/>
          <w:color w:val="242524"/>
          <w:sz w:val="21"/>
        </w:rPr>
        <w:t>Route each exception to the team that can correct its cause. EDI Support coordinates; business departments own business-data decisions within their area.</w:t>
      </w:r>
    </w:p>
    <w:p>
      <w:pPr>
        <w:spacing w:after="80" w:line="300" w:lineRule="auto"/>
        <w:numPr>
          <w:ilvl w:val="0"/>
          <w:numId w:val="10"/>
        </w:numPr>
      </w:pPr>
      <w:r>
        <w:rPr>
          <w:rFonts w:ascii="Arial" w:hAnsi="Arial" w:eastAsia="Arial"/>
          <w:color w:val="242524"/>
          <w:sz w:val="21"/>
        </w:rPr>
        <w:t>Reprocessing must be controlled, idempotent where possible, and evidenced so duplicates and partial updates do not create financial or fulfillment risk.</w:t>
      </w:r>
    </w:p>
    <w:p>
      <w:r>
        <w:br w:type="page"/>
      </w:r>
    </w:p>
    <w:p>
      <w:pPr>
        <w:pStyle w:val="Heading1"/>
        <w:keepNext/>
        <w:keepLines/>
      </w:pPr>
      <w:r>
        <w:rPr>
          <w:rFonts w:ascii="Arial" w:hAnsi="Arial" w:eastAsia="Arial"/>
          <w:b/>
          <w:color w:val="B22125"/>
          <w:sz w:val="36"/>
        </w:rPr>
        <w:t>2. Roles and responsibility model</w:t>
      </w:r>
    </w:p>
    <w:p>
      <w:pPr>
        <w:spacing w:before="0" w:after="120" w:line="300" w:lineRule="auto"/>
      </w:pPr>
      <w:r>
        <w:rPr>
          <w:rFonts w:ascii="Arial" w:hAnsi="Arial" w:eastAsia="Arial"/>
          <w:i w:val="0"/>
          <w:color w:val="242524"/>
          <w:sz w:val="21"/>
        </w:rPr>
        <w:t>Every implementation assigns named people to these roles. One person may fill more than one role, but accountability may not be left blank.</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2440"/>
        <w:gridCol w:w="6920"/>
      </w:tblGrid>
      <w:tr>
        <w:trPr>
          <w:tblHeader w:val="true"/>
          <w:cantSplit w:val="true"/>
        </w:trPr>
        <w:tc>
          <w:tcPr>
            <w:tcW w:type="dxa" w:w="244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Role</w:t>
            </w:r>
          </w:p>
        </w:tc>
        <w:tc>
          <w:tcPr>
            <w:tcW w:type="dxa" w:w="692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Accountability</w:t>
            </w:r>
          </w:p>
        </w:tc>
      </w:tr>
      <w:tr>
        <w:trPr>
          <w:cantSplit w:val="true"/>
        </w:trPr>
        <w:tc>
          <w:tcPr>
            <w:tcW w:type="dxa" w:w="2440"/>
            <w:tcMar>
              <w:top w:w="90" w:type="dxa"/>
              <w:start w:w="120" w:type="dxa"/>
              <w:bottom w:w="90" w:type="dxa"/>
              <w:end w:w="120" w:type="dxa"/>
            </w:tcMar>
            <w:vAlign w:val="center"/>
          </w:tcPr>
          <w:p>
            <w:pPr>
              <w:spacing w:before="0" w:after="0" w:line="259" w:lineRule="auto"/>
            </w:pPr>
            <w:r>
              <w:rPr>
                <w:rFonts w:ascii="Arial" w:hAnsi="Arial" w:eastAsia="Arial"/>
                <w:color w:val="242524"/>
                <w:sz w:val="17"/>
              </w:rPr>
              <w:t>Ultra PRO integration owner / EDI Support</w:t>
            </w:r>
          </w:p>
        </w:tc>
        <w:tc>
          <w:tcPr>
            <w:tcW w:type="dxa" w:w="6920"/>
            <w:tcMar>
              <w:top w:w="90" w:type="dxa"/>
              <w:start w:w="120" w:type="dxa"/>
              <w:bottom w:w="90" w:type="dxa"/>
              <w:end w:w="120" w:type="dxa"/>
            </w:tcMar>
            <w:vAlign w:val="center"/>
          </w:tcPr>
          <w:p>
            <w:pPr>
              <w:spacing w:before="0" w:after="0" w:line="259" w:lineRule="auto"/>
            </w:pPr>
            <w:r>
              <w:rPr>
                <w:rFonts w:ascii="Arial" w:hAnsi="Arial" w:eastAsia="Arial"/>
                <w:color w:val="242524"/>
                <w:sz w:val="17"/>
              </w:rPr>
              <w:t>Owns intake, coordination, lane assignment, technical delivery record, issue routing, evidence completeness, cutover coordination, and transition to support.</w:t>
            </w:r>
          </w:p>
        </w:tc>
      </w:tr>
      <w:tr>
        <w:trPr>
          <w:cantSplit w:val="true"/>
        </w:trPr>
        <w:tc>
          <w:tcPr>
            <w:tcW w:type="dxa" w:w="244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Ultra PRO business owner</w:t>
            </w:r>
          </w:p>
        </w:tc>
        <w:tc>
          <w:tcPr>
            <w:tcW w:type="dxa" w:w="692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Owns business scope, priority, expected outcome, acceptance criteria, UAT approval, manual-process retirement, and business exception decisions.</w:t>
            </w:r>
          </w:p>
        </w:tc>
      </w:tr>
      <w:tr>
        <w:trPr>
          <w:cantSplit w:val="true"/>
        </w:trPr>
        <w:tc>
          <w:tcPr>
            <w:tcW w:type="dxa" w:w="2440"/>
            <w:tcMar>
              <w:top w:w="90" w:type="dxa"/>
              <w:start w:w="120" w:type="dxa"/>
              <w:bottom w:w="90" w:type="dxa"/>
              <w:end w:w="120" w:type="dxa"/>
            </w:tcMar>
            <w:vAlign w:val="center"/>
          </w:tcPr>
          <w:p>
            <w:pPr>
              <w:spacing w:before="0" w:after="0" w:line="259" w:lineRule="auto"/>
            </w:pPr>
            <w:r>
              <w:rPr>
                <w:rFonts w:ascii="Arial" w:hAnsi="Arial" w:eastAsia="Arial"/>
                <w:color w:val="242524"/>
                <w:sz w:val="17"/>
              </w:rPr>
              <w:t>ERPNext / application owner</w:t>
            </w:r>
          </w:p>
        </w:tc>
        <w:tc>
          <w:tcPr>
            <w:tcW w:type="dxa" w:w="6920"/>
            <w:tcMar>
              <w:top w:w="90" w:type="dxa"/>
              <w:start w:w="120" w:type="dxa"/>
              <w:bottom w:w="90" w:type="dxa"/>
              <w:end w:w="120" w:type="dxa"/>
            </w:tcMar>
            <w:vAlign w:val="center"/>
          </w:tcPr>
          <w:p>
            <w:pPr>
              <w:spacing w:before="0" w:after="0" w:line="259" w:lineRule="auto"/>
            </w:pPr>
            <w:r>
              <w:rPr>
                <w:rFonts w:ascii="Arial" w:hAnsi="Arial" w:eastAsia="Arial"/>
                <w:color w:val="242524"/>
                <w:sz w:val="17"/>
              </w:rPr>
              <w:t>Owns target object behavior, field and status rules, application access, performance, deployment, and application-level defect resolution.</w:t>
            </w:r>
          </w:p>
        </w:tc>
      </w:tr>
      <w:tr>
        <w:trPr>
          <w:cantSplit w:val="true"/>
        </w:trPr>
        <w:tc>
          <w:tcPr>
            <w:tcW w:type="dxa" w:w="244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Department exception owner</w:t>
            </w:r>
          </w:p>
        </w:tc>
        <w:tc>
          <w:tcPr>
            <w:tcW w:type="dxa" w:w="692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Owns correction and aging of exceptions within eCommerce, Sales, Operations, Finance, item/master data, or another assigned area.</w:t>
            </w:r>
          </w:p>
        </w:tc>
      </w:tr>
      <w:tr>
        <w:trPr>
          <w:cantSplit w:val="true"/>
        </w:trPr>
        <w:tc>
          <w:tcPr>
            <w:tcW w:type="dxa" w:w="2440"/>
            <w:tcMar>
              <w:top w:w="90" w:type="dxa"/>
              <w:start w:w="120" w:type="dxa"/>
              <w:bottom w:w="90" w:type="dxa"/>
              <w:end w:w="120" w:type="dxa"/>
            </w:tcMar>
            <w:vAlign w:val="center"/>
          </w:tcPr>
          <w:p>
            <w:pPr>
              <w:spacing w:before="0" w:after="0" w:line="259" w:lineRule="auto"/>
            </w:pPr>
            <w:r>
              <w:rPr>
                <w:rFonts w:ascii="Arial" w:hAnsi="Arial" w:eastAsia="Arial"/>
                <w:color w:val="242524"/>
                <w:sz w:val="17"/>
              </w:rPr>
              <w:t>Information Security / IT</w:t>
            </w:r>
          </w:p>
        </w:tc>
        <w:tc>
          <w:tcPr>
            <w:tcW w:type="dxa" w:w="6920"/>
            <w:tcMar>
              <w:top w:w="90" w:type="dxa"/>
              <w:start w:w="120" w:type="dxa"/>
              <w:bottom w:w="90" w:type="dxa"/>
              <w:end w:w="120" w:type="dxa"/>
            </w:tcMar>
            <w:vAlign w:val="center"/>
          </w:tcPr>
          <w:p>
            <w:pPr>
              <w:spacing w:before="0" w:after="0" w:line="259" w:lineRule="auto"/>
            </w:pPr>
            <w:r>
              <w:rPr>
                <w:rFonts w:ascii="Arial" w:hAnsi="Arial" w:eastAsia="Arial"/>
                <w:color w:val="242524"/>
                <w:sz w:val="17"/>
              </w:rPr>
              <w:t>Approves transport, identity, secret handling, access, data classification, risk exceptions, and production security readiness.</w:t>
            </w:r>
          </w:p>
        </w:tc>
      </w:tr>
      <w:tr>
        <w:trPr>
          <w:cantSplit w:val="true"/>
        </w:trPr>
        <w:tc>
          <w:tcPr>
            <w:tcW w:type="dxa" w:w="244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Cleo or implementation delivery team</w:t>
            </w:r>
          </w:p>
        </w:tc>
        <w:tc>
          <w:tcPr>
            <w:tcW w:type="dxa" w:w="692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Configures approved endpoints, maps, routes, monitoring, testing support, defect correction, and deployment evidence where engaged.</w:t>
            </w:r>
          </w:p>
        </w:tc>
      </w:tr>
      <w:tr>
        <w:trPr>
          <w:cantSplit w:val="true"/>
        </w:trPr>
        <w:tc>
          <w:tcPr>
            <w:tcW w:type="dxa" w:w="2440"/>
            <w:tcMar>
              <w:top w:w="90" w:type="dxa"/>
              <w:start w:w="120" w:type="dxa"/>
              <w:bottom w:w="90" w:type="dxa"/>
              <w:end w:w="120" w:type="dxa"/>
            </w:tcMar>
            <w:vAlign w:val="center"/>
          </w:tcPr>
          <w:p>
            <w:pPr>
              <w:spacing w:before="0" w:after="0" w:line="259" w:lineRule="auto"/>
            </w:pPr>
            <w:r>
              <w:rPr>
                <w:rFonts w:ascii="Arial" w:hAnsi="Arial" w:eastAsia="Arial"/>
                <w:color w:val="242524"/>
                <w:sz w:val="17"/>
              </w:rPr>
              <w:t>Partner business owner</w:t>
            </w:r>
          </w:p>
        </w:tc>
        <w:tc>
          <w:tcPr>
            <w:tcW w:type="dxa" w:w="6920"/>
            <w:tcMar>
              <w:top w:w="90" w:type="dxa"/>
              <w:start w:w="120" w:type="dxa"/>
              <w:bottom w:w="90" w:type="dxa"/>
              <w:end w:w="120" w:type="dxa"/>
            </w:tcMar>
            <w:vAlign w:val="center"/>
          </w:tcPr>
          <w:p>
            <w:pPr>
              <w:spacing w:before="0" w:after="0" w:line="259" w:lineRule="auto"/>
            </w:pPr>
            <w:r>
              <w:rPr>
                <w:rFonts w:ascii="Arial" w:hAnsi="Arial" w:eastAsia="Arial"/>
                <w:color w:val="242524"/>
                <w:sz w:val="17"/>
              </w:rPr>
              <w:t>Confirms partner business scope, compliance requirements, certification timing, operating contacts, and business acceptance.</w:t>
            </w:r>
          </w:p>
        </w:tc>
      </w:tr>
      <w:tr>
        <w:trPr>
          <w:cantSplit w:val="true"/>
        </w:trPr>
        <w:tc>
          <w:tcPr>
            <w:tcW w:type="dxa" w:w="244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Partner technical lead</w:t>
            </w:r>
          </w:p>
        </w:tc>
        <w:tc>
          <w:tcPr>
            <w:tcW w:type="dxa" w:w="692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Provides guides/specifications, test connectivity, identifiers, samples, technical approvals, certification results, and production endpoint details.</w:t>
            </w:r>
          </w:p>
        </w:tc>
      </w:tr>
      <w:tr>
        <w:trPr>
          <w:cantSplit w:val="true"/>
        </w:trPr>
        <w:tc>
          <w:tcPr>
            <w:tcW w:type="dxa" w:w="2440"/>
            <w:tcMar>
              <w:top w:w="90" w:type="dxa"/>
              <w:start w:w="120" w:type="dxa"/>
              <w:bottom w:w="90" w:type="dxa"/>
              <w:end w:w="120" w:type="dxa"/>
            </w:tcMar>
            <w:vAlign w:val="center"/>
          </w:tcPr>
          <w:p>
            <w:pPr>
              <w:spacing w:before="0" w:after="0" w:line="259" w:lineRule="auto"/>
            </w:pPr>
            <w:r>
              <w:rPr>
                <w:rFonts w:ascii="Arial" w:hAnsi="Arial" w:eastAsia="Arial"/>
                <w:color w:val="242524"/>
                <w:sz w:val="17"/>
              </w:rPr>
              <w:t>Change / release approver</w:t>
            </w:r>
          </w:p>
        </w:tc>
        <w:tc>
          <w:tcPr>
            <w:tcW w:type="dxa" w:w="6920"/>
            <w:tcMar>
              <w:top w:w="90" w:type="dxa"/>
              <w:start w:w="120" w:type="dxa"/>
              <w:bottom w:w="90" w:type="dxa"/>
              <w:end w:w="120" w:type="dxa"/>
            </w:tcMar>
            <w:vAlign w:val="center"/>
          </w:tcPr>
          <w:p>
            <w:pPr>
              <w:spacing w:before="0" w:after="0" w:line="259" w:lineRule="auto"/>
            </w:pPr>
            <w:r>
              <w:rPr>
                <w:rFonts w:ascii="Arial" w:hAnsi="Arial" w:eastAsia="Arial"/>
                <w:color w:val="242524"/>
                <w:sz w:val="17"/>
              </w:rPr>
              <w:t>Confirms gate evidence, residual risk, production window, rollback authority, communication, and go/no-go decision.</w:t>
            </w:r>
          </w:p>
        </w:tc>
      </w:tr>
    </w:tbl>
    <w:p>
      <w:pPr>
        <w:spacing w:before="0" w:after="100"/>
      </w:pPr>
    </w:p>
    <w:p>
      <w:r>
        <w:br w:type="page"/>
      </w:r>
    </w:p>
    <w:p>
      <w:pPr>
        <w:pStyle w:val="Heading2"/>
        <w:keepNext/>
        <w:keepLines/>
      </w:pPr>
      <w:r>
        <w:rPr>
          <w:rFonts w:ascii="Arial" w:hAnsi="Arial" w:eastAsia="Arial"/>
          <w:b/>
          <w:color w:val="B22125"/>
          <w:sz w:val="27"/>
        </w:rPr>
        <w:t>2.1 Gate RACI</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3600"/>
        <w:gridCol w:w="1700"/>
        <w:gridCol w:w="2200"/>
        <w:gridCol w:w="1860"/>
      </w:tblGrid>
      <w:tr>
        <w:trPr>
          <w:tblHeader w:val="true"/>
          <w:cantSplit w:val="true"/>
        </w:trPr>
        <w:tc>
          <w:tcPr>
            <w:tcW w:type="dxa" w:w="36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Decision / evidence</w:t>
            </w:r>
          </w:p>
        </w:tc>
        <w:tc>
          <w:tcPr>
            <w:tcW w:type="dxa" w:w="17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A</w:t>
            </w:r>
          </w:p>
        </w:tc>
        <w:tc>
          <w:tcPr>
            <w:tcW w:type="dxa" w:w="22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R</w:t>
            </w:r>
          </w:p>
        </w:tc>
        <w:tc>
          <w:tcPr>
            <w:tcW w:type="dxa" w:w="18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C / I</w:t>
            </w:r>
          </w:p>
        </w:tc>
      </w:tr>
      <w:tr>
        <w:trPr>
          <w:cantSplit w:val="true"/>
        </w:trPr>
        <w:tc>
          <w:tcPr>
            <w:tcW w:type="dxa" w:w="3600"/>
            <w:tcMar>
              <w:top w:w="90" w:type="dxa"/>
              <w:start w:w="120" w:type="dxa"/>
              <w:bottom w:w="90" w:type="dxa"/>
              <w:end w:w="120" w:type="dxa"/>
            </w:tcMar>
            <w:vAlign w:val="center"/>
          </w:tcPr>
          <w:p>
            <w:pPr>
              <w:spacing w:before="0" w:after="0" w:line="259" w:lineRule="auto"/>
            </w:pPr>
            <w:r>
              <w:rPr>
                <w:rFonts w:ascii="Arial" w:hAnsi="Arial" w:eastAsia="Arial"/>
                <w:color w:val="242524"/>
                <w:sz w:val="15"/>
              </w:rPr>
              <w:t>Scope and business acceptance criteria</w:t>
            </w:r>
          </w:p>
        </w:tc>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owner</w:t>
            </w:r>
          </w:p>
        </w:tc>
        <w:tc>
          <w:tcPr>
            <w:tcW w:type="dxa" w:w="2200"/>
            <w:tcMar>
              <w:top w:w="90" w:type="dxa"/>
              <w:start w:w="120" w:type="dxa"/>
              <w:bottom w:w="90" w:type="dxa"/>
              <w:end w:w="120" w:type="dxa"/>
            </w:tcMar>
            <w:vAlign w:val="center"/>
          </w:tcPr>
          <w:p>
            <w:pPr>
              <w:spacing w:before="0" w:after="0" w:line="259" w:lineRule="auto"/>
            </w:pPr>
            <w:r>
              <w:rPr>
                <w:rFonts w:ascii="Arial" w:hAnsi="Arial" w:eastAsia="Arial"/>
                <w:color w:val="242524"/>
                <w:sz w:val="15"/>
              </w:rPr>
              <w:t>EDI Support + partner leads</w:t>
            </w:r>
          </w:p>
        </w:tc>
        <w:tc>
          <w:tcPr>
            <w:tcW w:type="dxa" w:w="1860"/>
            <w:tcMar>
              <w:top w:w="90" w:type="dxa"/>
              <w:start w:w="120" w:type="dxa"/>
              <w:bottom w:w="90" w:type="dxa"/>
              <w:end w:w="120" w:type="dxa"/>
            </w:tcMar>
            <w:vAlign w:val="center"/>
          </w:tcPr>
          <w:p>
            <w:pPr>
              <w:spacing w:before="0" w:after="0" w:line="259" w:lineRule="auto"/>
            </w:pPr>
            <w:r>
              <w:rPr>
                <w:rFonts w:ascii="Arial" w:hAnsi="Arial" w:eastAsia="Arial"/>
                <w:color w:val="242524"/>
                <w:sz w:val="15"/>
              </w:rPr>
              <w:t>Application owner; affected departments</w:t>
            </w:r>
          </w:p>
        </w:tc>
      </w:tr>
      <w:tr>
        <w:trPr>
          <w:cantSplit w:val="true"/>
        </w:trPr>
        <w:tc>
          <w:tcPr>
            <w:tcW w:type="dxa" w:w="36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Connectivity and security design</w:t>
            </w:r>
          </w:p>
        </w:tc>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Information Security / IT</w:t>
            </w:r>
          </w:p>
        </w:tc>
        <w:tc>
          <w:tcPr>
            <w:tcW w:type="dxa" w:w="22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EDI Support + partner technical lead</w:t>
            </w:r>
          </w:p>
        </w:tc>
        <w:tc>
          <w:tcPr>
            <w:tcW w:type="dxa" w:w="18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Cleo delivery; application owner</w:t>
            </w:r>
          </w:p>
        </w:tc>
      </w:tr>
      <w:tr>
        <w:trPr>
          <w:cantSplit w:val="true"/>
        </w:trPr>
        <w:tc>
          <w:tcPr>
            <w:tcW w:type="dxa" w:w="3600"/>
            <w:tcMar>
              <w:top w:w="90" w:type="dxa"/>
              <w:start w:w="120" w:type="dxa"/>
              <w:bottom w:w="90" w:type="dxa"/>
              <w:end w:w="120" w:type="dxa"/>
            </w:tcMar>
            <w:vAlign w:val="center"/>
          </w:tcPr>
          <w:p>
            <w:pPr>
              <w:spacing w:before="0" w:after="0" w:line="259" w:lineRule="auto"/>
            </w:pPr>
            <w:r>
              <w:rPr>
                <w:rFonts w:ascii="Arial" w:hAnsi="Arial" w:eastAsia="Arial"/>
                <w:color w:val="242524"/>
                <w:sz w:val="15"/>
              </w:rPr>
              <w:t>Mapping and master-data rules</w:t>
            </w:r>
          </w:p>
        </w:tc>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owner</w:t>
            </w:r>
          </w:p>
        </w:tc>
        <w:tc>
          <w:tcPr>
            <w:tcW w:type="dxa" w:w="2200"/>
            <w:tcMar>
              <w:top w:w="90" w:type="dxa"/>
              <w:start w:w="120" w:type="dxa"/>
              <w:bottom w:w="90" w:type="dxa"/>
              <w:end w:w="120" w:type="dxa"/>
            </w:tcMar>
            <w:vAlign w:val="center"/>
          </w:tcPr>
          <w:p>
            <w:pPr>
              <w:spacing w:before="0" w:after="0" w:line="259" w:lineRule="auto"/>
            </w:pPr>
            <w:r>
              <w:rPr>
                <w:rFonts w:ascii="Arial" w:hAnsi="Arial" w:eastAsia="Arial"/>
                <w:color w:val="242524"/>
                <w:sz w:val="15"/>
              </w:rPr>
              <w:t>EDI Support + application owner</w:t>
            </w:r>
          </w:p>
        </w:tc>
        <w:tc>
          <w:tcPr>
            <w:tcW w:type="dxa" w:w="1860"/>
            <w:tcMar>
              <w:top w:w="90" w:type="dxa"/>
              <w:start w:w="120" w:type="dxa"/>
              <w:bottom w:w="90" w:type="dxa"/>
              <w:end w:w="120" w:type="dxa"/>
            </w:tcMar>
            <w:vAlign w:val="center"/>
          </w:tcPr>
          <w:p>
            <w:pPr>
              <w:spacing w:before="0" w:after="0" w:line="259" w:lineRule="auto"/>
            </w:pPr>
            <w:r>
              <w:rPr>
                <w:rFonts w:ascii="Arial" w:hAnsi="Arial" w:eastAsia="Arial"/>
                <w:color w:val="242524"/>
                <w:sz w:val="15"/>
              </w:rPr>
              <w:t>Department exception owners; partner</w:t>
            </w:r>
          </w:p>
        </w:tc>
      </w:tr>
      <w:tr>
        <w:trPr>
          <w:cantSplit w:val="true"/>
        </w:trPr>
        <w:tc>
          <w:tcPr>
            <w:tcW w:type="dxa" w:w="36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Technical test completion</w:t>
            </w:r>
          </w:p>
        </w:tc>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Integration owner</w:t>
            </w:r>
          </w:p>
        </w:tc>
        <w:tc>
          <w:tcPr>
            <w:tcW w:type="dxa" w:w="22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EDI Support / delivery team</w:t>
            </w:r>
          </w:p>
        </w:tc>
        <w:tc>
          <w:tcPr>
            <w:tcW w:type="dxa" w:w="18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Partner technical; application owner</w:t>
            </w:r>
          </w:p>
        </w:tc>
      </w:tr>
      <w:tr>
        <w:trPr>
          <w:cantSplit w:val="true"/>
        </w:trPr>
        <w:tc>
          <w:tcPr>
            <w:tcW w:type="dxa" w:w="3600"/>
            <w:tcMar>
              <w:top w:w="90" w:type="dxa"/>
              <w:start w:w="120" w:type="dxa"/>
              <w:bottom w:w="90" w:type="dxa"/>
              <w:end w:w="120" w:type="dxa"/>
            </w:tcMar>
            <w:vAlign w:val="center"/>
          </w:tcPr>
          <w:p>
            <w:pPr>
              <w:spacing w:before="0" w:after="0" w:line="259" w:lineRule="auto"/>
            </w:pPr>
            <w:r>
              <w:rPr>
                <w:rFonts w:ascii="Arial" w:hAnsi="Arial" w:eastAsia="Arial"/>
                <w:color w:val="242524"/>
                <w:sz w:val="15"/>
              </w:rPr>
              <w:t>Partner certification</w:t>
            </w:r>
          </w:p>
        </w:tc>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5"/>
              </w:rPr>
              <w:t>Partner business owner</w:t>
            </w:r>
          </w:p>
        </w:tc>
        <w:tc>
          <w:tcPr>
            <w:tcW w:type="dxa" w:w="2200"/>
            <w:tcMar>
              <w:top w:w="90" w:type="dxa"/>
              <w:start w:w="120" w:type="dxa"/>
              <w:bottom w:w="90" w:type="dxa"/>
              <w:end w:w="120" w:type="dxa"/>
            </w:tcMar>
            <w:vAlign w:val="center"/>
          </w:tcPr>
          <w:p>
            <w:pPr>
              <w:spacing w:before="0" w:after="0" w:line="259" w:lineRule="auto"/>
            </w:pPr>
            <w:r>
              <w:rPr>
                <w:rFonts w:ascii="Arial" w:hAnsi="Arial" w:eastAsia="Arial"/>
                <w:color w:val="242524"/>
                <w:sz w:val="15"/>
              </w:rPr>
              <w:t>Partner technical + EDI Support</w:t>
            </w:r>
          </w:p>
        </w:tc>
        <w:tc>
          <w:tcPr>
            <w:tcW w:type="dxa" w:w="1860"/>
            <w:tcMar>
              <w:top w:w="90" w:type="dxa"/>
              <w:start w:w="120" w:type="dxa"/>
              <w:bottom w:w="90" w:type="dxa"/>
              <w:end w:w="120" w:type="dxa"/>
            </w:tcMar>
            <w:vAlign w:val="center"/>
          </w:tcPr>
          <w:p>
            <w:pPr>
              <w:spacing w:before="0" w:after="0" w:line="259" w:lineRule="auto"/>
            </w:pPr>
            <w:r>
              <w:rPr>
                <w:rFonts w:ascii="Arial" w:hAnsi="Arial" w:eastAsia="Arial"/>
                <w:color w:val="242524"/>
                <w:sz w:val="15"/>
              </w:rPr>
              <w:t>Ultra PRO business owner</w:t>
            </w:r>
          </w:p>
        </w:tc>
      </w:tr>
      <w:tr>
        <w:trPr>
          <w:cantSplit w:val="true"/>
        </w:trPr>
        <w:tc>
          <w:tcPr>
            <w:tcW w:type="dxa" w:w="36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UAT</w:t>
            </w:r>
          </w:p>
        </w:tc>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Ultra PRO business owner</w:t>
            </w:r>
          </w:p>
        </w:tc>
        <w:tc>
          <w:tcPr>
            <w:tcW w:type="dxa" w:w="22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testers</w:t>
            </w:r>
          </w:p>
        </w:tc>
        <w:tc>
          <w:tcPr>
            <w:tcW w:type="dxa" w:w="18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EDI Support; partner; application owner</w:t>
            </w:r>
          </w:p>
        </w:tc>
      </w:tr>
      <w:tr>
        <w:trPr>
          <w:cantSplit w:val="true"/>
        </w:trPr>
        <w:tc>
          <w:tcPr>
            <w:tcW w:type="dxa" w:w="3600"/>
            <w:tcMar>
              <w:top w:w="90" w:type="dxa"/>
              <w:start w:w="120" w:type="dxa"/>
              <w:bottom w:w="90" w:type="dxa"/>
              <w:end w:w="120" w:type="dxa"/>
            </w:tcMar>
            <w:vAlign w:val="center"/>
          </w:tcPr>
          <w:p>
            <w:pPr>
              <w:spacing w:before="0" w:after="0" w:line="259" w:lineRule="auto"/>
            </w:pPr>
            <w:r>
              <w:rPr>
                <w:rFonts w:ascii="Arial" w:hAnsi="Arial" w:eastAsia="Arial"/>
                <w:color w:val="242524"/>
                <w:sz w:val="15"/>
              </w:rPr>
              <w:t>Production go/no-go</w:t>
            </w:r>
          </w:p>
        </w:tc>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5"/>
              </w:rPr>
              <w:t>Change / release approver</w:t>
            </w:r>
          </w:p>
        </w:tc>
        <w:tc>
          <w:tcPr>
            <w:tcW w:type="dxa" w:w="2200"/>
            <w:tcMar>
              <w:top w:w="90" w:type="dxa"/>
              <w:start w:w="120" w:type="dxa"/>
              <w:bottom w:w="90" w:type="dxa"/>
              <w:end w:w="120" w:type="dxa"/>
            </w:tcMar>
            <w:vAlign w:val="center"/>
          </w:tcPr>
          <w:p>
            <w:pPr>
              <w:spacing w:before="0" w:after="0" w:line="259" w:lineRule="auto"/>
            </w:pPr>
            <w:r>
              <w:rPr>
                <w:rFonts w:ascii="Arial" w:hAnsi="Arial" w:eastAsia="Arial"/>
                <w:color w:val="242524"/>
                <w:sz w:val="15"/>
              </w:rPr>
              <w:t>Integration owner</w:t>
            </w:r>
          </w:p>
        </w:tc>
        <w:tc>
          <w:tcPr>
            <w:tcW w:type="dxa" w:w="1860"/>
            <w:tcMar>
              <w:top w:w="90" w:type="dxa"/>
              <w:start w:w="120" w:type="dxa"/>
              <w:bottom w:w="90" w:type="dxa"/>
              <w:end w:w="120" w:type="dxa"/>
            </w:tcMar>
            <w:vAlign w:val="center"/>
          </w:tcPr>
          <w:p>
            <w:pPr>
              <w:spacing w:before="0" w:after="0" w:line="259" w:lineRule="auto"/>
            </w:pPr>
            <w:r>
              <w:rPr>
                <w:rFonts w:ascii="Arial" w:hAnsi="Arial" w:eastAsia="Arial"/>
                <w:color w:val="242524"/>
                <w:sz w:val="15"/>
              </w:rPr>
              <w:t>All owners and support teams</w:t>
            </w:r>
          </w:p>
        </w:tc>
      </w:tr>
      <w:tr>
        <w:trPr>
          <w:cantSplit w:val="true"/>
        </w:trPr>
        <w:tc>
          <w:tcPr>
            <w:tcW w:type="dxa" w:w="36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Hypercare exit</w:t>
            </w:r>
          </w:p>
        </w:tc>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Integration + business owners</w:t>
            </w:r>
          </w:p>
        </w:tc>
        <w:tc>
          <w:tcPr>
            <w:tcW w:type="dxa" w:w="22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EDI Support</w:t>
            </w:r>
          </w:p>
        </w:tc>
        <w:tc>
          <w:tcPr>
            <w:tcW w:type="dxa" w:w="18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Partner; exception owners; application owner</w:t>
            </w:r>
          </w:p>
        </w:tc>
      </w:tr>
    </w:tbl>
    <w:p>
      <w:pPr>
        <w:spacing w:before="0" w:after="100"/>
      </w:pPr>
    </w:p>
    <w:p>
      <w:pPr>
        <w:pStyle w:val="Heading1"/>
        <w:keepNext/>
        <w:keepLines/>
      </w:pPr>
      <w:r>
        <w:rPr>
          <w:rFonts w:ascii="Arial" w:hAnsi="Arial" w:eastAsia="Arial"/>
          <w:b/>
          <w:color w:val="B22125"/>
          <w:sz w:val="36"/>
        </w:rPr>
        <w:t>3. Lifecycle summary and planning ranges</w:t>
      </w:r>
    </w:p>
    <w:p>
      <w:pPr>
        <w:spacing w:before="0" w:after="120" w:line="300" w:lineRule="auto"/>
      </w:pPr>
      <w:r>
        <w:rPr>
          <w:rFonts w:ascii="Arial" w:hAnsi="Arial" w:eastAsia="Arial"/>
          <w:i w:val="0"/>
          <w:color w:val="242524"/>
          <w:sz w:val="21"/>
        </w:rPr>
        <w:t>The table is a planning baseline, not a promise. Activities overlap when dependencies allow. Partner queues, certification programs, complex master data, security review, or scope changes can extend elapsed time.</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500"/>
        <w:gridCol w:w="2050"/>
        <w:gridCol w:w="1500"/>
        <w:gridCol w:w="2850"/>
        <w:gridCol w:w="2460"/>
      </w:tblGrid>
      <w:tr>
        <w:trPr>
          <w:tblHeader w:val="true"/>
          <w:cantSplit w:val="true"/>
        </w:trPr>
        <w:tc>
          <w:tcPr>
            <w:tcW w:type="dxa" w:w="5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w:t>
            </w:r>
          </w:p>
        </w:tc>
        <w:tc>
          <w:tcPr>
            <w:tcW w:type="dxa" w:w="205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Phase</w:t>
            </w:r>
          </w:p>
        </w:tc>
        <w:tc>
          <w:tcPr>
            <w:tcW w:type="dxa" w:w="15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Typical range</w:t>
            </w:r>
          </w:p>
        </w:tc>
        <w:tc>
          <w:tcPr>
            <w:tcW w:type="dxa" w:w="285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Primary output</w:t>
            </w:r>
          </w:p>
        </w:tc>
        <w:tc>
          <w:tcPr>
            <w:tcW w:type="dxa" w:w="24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Gate</w:t>
            </w:r>
          </w:p>
        </w:tc>
      </w:tr>
      <w:tr>
        <w:trPr>
          <w:cantSplit w:val="true"/>
        </w:trPr>
        <w:tc>
          <w:tcPr>
            <w:tcW w:type="dxa" w:w="500"/>
            <w:tcMar>
              <w:top w:w="90" w:type="dxa"/>
              <w:start w:w="120" w:type="dxa"/>
              <w:bottom w:w="90" w:type="dxa"/>
              <w:end w:w="120" w:type="dxa"/>
            </w:tcMar>
            <w:vAlign w:val="center"/>
          </w:tcPr>
          <w:p>
            <w:pPr>
              <w:spacing w:before="0" w:after="0" w:line="259" w:lineRule="auto"/>
            </w:pPr>
            <w:r>
              <w:rPr>
                <w:rFonts w:ascii="Arial" w:hAnsi="Arial" w:eastAsia="Arial"/>
                <w:color w:val="242524"/>
                <w:sz w:val="15"/>
              </w:rPr>
              <w:t>01</w:t>
            </w:r>
          </w:p>
        </w:tc>
        <w:tc>
          <w:tcPr>
            <w:tcW w:type="dxa" w:w="2050"/>
            <w:tcMar>
              <w:top w:w="90" w:type="dxa"/>
              <w:start w:w="120" w:type="dxa"/>
              <w:bottom w:w="90" w:type="dxa"/>
              <w:end w:w="120" w:type="dxa"/>
            </w:tcMar>
            <w:vAlign w:val="center"/>
          </w:tcPr>
          <w:p>
            <w:pPr>
              <w:spacing w:before="0" w:after="0" w:line="259" w:lineRule="auto"/>
            </w:pPr>
            <w:r>
              <w:rPr>
                <w:rFonts w:ascii="Arial" w:hAnsi="Arial" w:eastAsia="Arial"/>
                <w:color w:val="242524"/>
                <w:sz w:val="15"/>
              </w:rPr>
              <w:t>Initial contact &amp; triage</w:t>
            </w:r>
          </w:p>
        </w:tc>
        <w:tc>
          <w:tcPr>
            <w:tcW w:type="dxa" w:w="1500"/>
            <w:tcMar>
              <w:top w:w="90" w:type="dxa"/>
              <w:start w:w="120" w:type="dxa"/>
              <w:bottom w:w="90" w:type="dxa"/>
              <w:end w:w="120" w:type="dxa"/>
            </w:tcMar>
            <w:vAlign w:val="center"/>
          </w:tcPr>
          <w:p>
            <w:pPr>
              <w:spacing w:before="0" w:after="0" w:line="259" w:lineRule="auto"/>
            </w:pPr>
            <w:r>
              <w:rPr>
                <w:rFonts w:ascii="Arial" w:hAnsi="Arial" w:eastAsia="Arial"/>
                <w:color w:val="242524"/>
                <w:sz w:val="15"/>
              </w:rPr>
              <w:t>1-2 business days</w:t>
            </w:r>
          </w:p>
        </w:tc>
        <w:tc>
          <w:tcPr>
            <w:tcW w:type="dxa" w:w="2850"/>
            <w:tcMar>
              <w:top w:w="90" w:type="dxa"/>
              <w:start w:w="120" w:type="dxa"/>
              <w:bottom w:w="90" w:type="dxa"/>
              <w:end w:w="120" w:type="dxa"/>
            </w:tcMar>
            <w:vAlign w:val="center"/>
          </w:tcPr>
          <w:p>
            <w:pPr>
              <w:spacing w:before="0" w:after="0" w:line="259" w:lineRule="auto"/>
            </w:pPr>
            <w:r>
              <w:rPr>
                <w:rFonts w:ascii="Arial" w:hAnsi="Arial" w:eastAsia="Arial"/>
                <w:color w:val="242524"/>
                <w:sz w:val="15"/>
              </w:rPr>
              <w:t>Intake record and owner</w:t>
            </w:r>
          </w:p>
        </w:tc>
        <w:tc>
          <w:tcPr>
            <w:tcW w:type="dxa" w:w="2460"/>
            <w:tcMar>
              <w:top w:w="90" w:type="dxa"/>
              <w:start w:w="120" w:type="dxa"/>
              <w:bottom w:w="90" w:type="dxa"/>
              <w:end w:w="120" w:type="dxa"/>
            </w:tcMar>
            <w:vAlign w:val="center"/>
          </w:tcPr>
          <w:p>
            <w:pPr>
              <w:spacing w:before="0" w:after="0" w:line="259" w:lineRule="auto"/>
            </w:pPr>
            <w:r>
              <w:rPr>
                <w:rFonts w:ascii="Arial" w:hAnsi="Arial" w:eastAsia="Arial"/>
                <w:color w:val="242524"/>
                <w:sz w:val="15"/>
              </w:rPr>
              <w:t>Request acknowledged and assigned</w:t>
            </w:r>
          </w:p>
        </w:tc>
      </w:tr>
      <w:tr>
        <w:trPr>
          <w:cantSplit w:val="true"/>
        </w:trPr>
        <w:tc>
          <w:tcPr>
            <w:tcW w:type="dxa" w:w="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02</w:t>
            </w:r>
          </w:p>
        </w:tc>
        <w:tc>
          <w:tcPr>
            <w:tcW w:type="dxa" w:w="20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Scope &amp; readiness</w:t>
            </w:r>
          </w:p>
        </w:tc>
        <w:tc>
          <w:tcPr>
            <w:tcW w:type="dxa" w:w="1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3-10 business days</w:t>
            </w:r>
          </w:p>
        </w:tc>
        <w:tc>
          <w:tcPr>
            <w:tcW w:type="dxa" w:w="28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Scope, lane, owners, dependencies</w:t>
            </w:r>
          </w:p>
        </w:tc>
        <w:tc>
          <w:tcPr>
            <w:tcW w:type="dxa" w:w="24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Discovery baseline approved</w:t>
            </w:r>
          </w:p>
        </w:tc>
      </w:tr>
      <w:tr>
        <w:trPr>
          <w:cantSplit w:val="true"/>
        </w:trPr>
        <w:tc>
          <w:tcPr>
            <w:tcW w:type="dxa" w:w="500"/>
            <w:tcMar>
              <w:top w:w="90" w:type="dxa"/>
              <w:start w:w="120" w:type="dxa"/>
              <w:bottom w:w="90" w:type="dxa"/>
              <w:end w:w="120" w:type="dxa"/>
            </w:tcMar>
            <w:vAlign w:val="center"/>
          </w:tcPr>
          <w:p>
            <w:pPr>
              <w:spacing w:before="0" w:after="0" w:line="259" w:lineRule="auto"/>
            </w:pPr>
            <w:r>
              <w:rPr>
                <w:rFonts w:ascii="Arial" w:hAnsi="Arial" w:eastAsia="Arial"/>
                <w:color w:val="242524"/>
                <w:sz w:val="15"/>
              </w:rPr>
              <w:t>03</w:t>
            </w:r>
          </w:p>
        </w:tc>
        <w:tc>
          <w:tcPr>
            <w:tcW w:type="dxa" w:w="2050"/>
            <w:tcMar>
              <w:top w:w="90" w:type="dxa"/>
              <w:start w:w="120" w:type="dxa"/>
              <w:bottom w:w="90" w:type="dxa"/>
              <w:end w:w="120" w:type="dxa"/>
            </w:tcMar>
            <w:vAlign w:val="center"/>
          </w:tcPr>
          <w:p>
            <w:pPr>
              <w:spacing w:before="0" w:after="0" w:line="259" w:lineRule="auto"/>
            </w:pPr>
            <w:r>
              <w:rPr>
                <w:rFonts w:ascii="Arial" w:hAnsi="Arial" w:eastAsia="Arial"/>
                <w:color w:val="242524"/>
                <w:sz w:val="15"/>
              </w:rPr>
              <w:t>Connectivity &amp; data review</w:t>
            </w:r>
          </w:p>
        </w:tc>
        <w:tc>
          <w:tcPr>
            <w:tcW w:type="dxa" w:w="1500"/>
            <w:tcMar>
              <w:top w:w="90" w:type="dxa"/>
              <w:start w:w="120" w:type="dxa"/>
              <w:bottom w:w="90" w:type="dxa"/>
              <w:end w:w="120" w:type="dxa"/>
            </w:tcMar>
            <w:vAlign w:val="center"/>
          </w:tcPr>
          <w:p>
            <w:pPr>
              <w:spacing w:before="0" w:after="0" w:line="259" w:lineRule="auto"/>
            </w:pPr>
            <w:r>
              <w:rPr>
                <w:rFonts w:ascii="Arial" w:hAnsi="Arial" w:eastAsia="Arial"/>
                <w:color w:val="242524"/>
                <w:sz w:val="15"/>
              </w:rPr>
              <w:t>3-10 business days</w:t>
            </w:r>
          </w:p>
        </w:tc>
        <w:tc>
          <w:tcPr>
            <w:tcW w:type="dxa" w:w="2850"/>
            <w:tcMar>
              <w:top w:w="90" w:type="dxa"/>
              <w:start w:w="120" w:type="dxa"/>
              <w:bottom w:w="90" w:type="dxa"/>
              <w:end w:w="120" w:type="dxa"/>
            </w:tcMar>
            <w:vAlign w:val="center"/>
          </w:tcPr>
          <w:p>
            <w:pPr>
              <w:spacing w:before="0" w:after="0" w:line="259" w:lineRule="auto"/>
            </w:pPr>
            <w:r>
              <w:rPr>
                <w:rFonts w:ascii="Arial" w:hAnsi="Arial" w:eastAsia="Arial"/>
                <w:color w:val="242524"/>
                <w:sz w:val="15"/>
              </w:rPr>
              <w:t>Security/connectivity design</w:t>
            </w:r>
          </w:p>
        </w:tc>
        <w:tc>
          <w:tcPr>
            <w:tcW w:type="dxa" w:w="2460"/>
            <w:tcMar>
              <w:top w:w="90" w:type="dxa"/>
              <w:start w:w="120" w:type="dxa"/>
              <w:bottom w:w="90" w:type="dxa"/>
              <w:end w:w="120" w:type="dxa"/>
            </w:tcMar>
            <w:vAlign w:val="center"/>
          </w:tcPr>
          <w:p>
            <w:pPr>
              <w:spacing w:before="0" w:after="0" w:line="259" w:lineRule="auto"/>
            </w:pPr>
            <w:r>
              <w:rPr>
                <w:rFonts w:ascii="Arial" w:hAnsi="Arial" w:eastAsia="Arial"/>
                <w:color w:val="242524"/>
                <w:sz w:val="15"/>
              </w:rPr>
              <w:t>Design approved; secure exchange defined</w:t>
            </w:r>
          </w:p>
        </w:tc>
      </w:tr>
      <w:tr>
        <w:trPr>
          <w:cantSplit w:val="true"/>
        </w:trPr>
        <w:tc>
          <w:tcPr>
            <w:tcW w:type="dxa" w:w="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04</w:t>
            </w:r>
          </w:p>
        </w:tc>
        <w:tc>
          <w:tcPr>
            <w:tcW w:type="dxa" w:w="20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Mapping &amp; business rules</w:t>
            </w:r>
          </w:p>
        </w:tc>
        <w:tc>
          <w:tcPr>
            <w:tcW w:type="dxa" w:w="1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5-15 business days</w:t>
            </w:r>
          </w:p>
        </w:tc>
        <w:tc>
          <w:tcPr>
            <w:tcW w:type="dxa" w:w="28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Mapping specification and test cases</w:t>
            </w:r>
          </w:p>
        </w:tc>
        <w:tc>
          <w:tcPr>
            <w:tcW w:type="dxa" w:w="24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and technical rules approved</w:t>
            </w:r>
          </w:p>
        </w:tc>
      </w:tr>
      <w:tr>
        <w:trPr>
          <w:cantSplit w:val="true"/>
        </w:trPr>
        <w:tc>
          <w:tcPr>
            <w:tcW w:type="dxa" w:w="500"/>
            <w:tcMar>
              <w:top w:w="90" w:type="dxa"/>
              <w:start w:w="120" w:type="dxa"/>
              <w:bottom w:w="90" w:type="dxa"/>
              <w:end w:w="120" w:type="dxa"/>
            </w:tcMar>
            <w:vAlign w:val="center"/>
          </w:tcPr>
          <w:p>
            <w:pPr>
              <w:spacing w:before="0" w:after="0" w:line="259" w:lineRule="auto"/>
            </w:pPr>
            <w:r>
              <w:rPr>
                <w:rFonts w:ascii="Arial" w:hAnsi="Arial" w:eastAsia="Arial"/>
                <w:color w:val="242524"/>
                <w:sz w:val="15"/>
              </w:rPr>
              <w:t>05</w:t>
            </w:r>
          </w:p>
        </w:tc>
        <w:tc>
          <w:tcPr>
            <w:tcW w:type="dxa" w:w="2050"/>
            <w:tcMar>
              <w:top w:w="90" w:type="dxa"/>
              <w:start w:w="120" w:type="dxa"/>
              <w:bottom w:w="90" w:type="dxa"/>
              <w:end w:w="120" w:type="dxa"/>
            </w:tcMar>
            <w:vAlign w:val="center"/>
          </w:tcPr>
          <w:p>
            <w:pPr>
              <w:spacing w:before="0" w:after="0" w:line="259" w:lineRule="auto"/>
            </w:pPr>
            <w:r>
              <w:rPr>
                <w:rFonts w:ascii="Arial" w:hAnsi="Arial" w:eastAsia="Arial"/>
                <w:color w:val="242524"/>
                <w:sz w:val="15"/>
              </w:rPr>
              <w:t>Configuration &amp; development</w:t>
            </w:r>
          </w:p>
        </w:tc>
        <w:tc>
          <w:tcPr>
            <w:tcW w:type="dxa" w:w="1500"/>
            <w:tcMar>
              <w:top w:w="90" w:type="dxa"/>
              <w:start w:w="120" w:type="dxa"/>
              <w:bottom w:w="90" w:type="dxa"/>
              <w:end w:w="120" w:type="dxa"/>
            </w:tcMar>
            <w:vAlign w:val="center"/>
          </w:tcPr>
          <w:p>
            <w:pPr>
              <w:spacing w:before="0" w:after="0" w:line="259" w:lineRule="auto"/>
            </w:pPr>
            <w:r>
              <w:rPr>
                <w:rFonts w:ascii="Arial" w:hAnsi="Arial" w:eastAsia="Arial"/>
                <w:color w:val="242524"/>
                <w:sz w:val="15"/>
              </w:rPr>
              <w:t>5-20 business days</w:t>
            </w:r>
          </w:p>
        </w:tc>
        <w:tc>
          <w:tcPr>
            <w:tcW w:type="dxa" w:w="2850"/>
            <w:tcMar>
              <w:top w:w="90" w:type="dxa"/>
              <w:start w:w="120" w:type="dxa"/>
              <w:bottom w:w="90" w:type="dxa"/>
              <w:end w:w="120" w:type="dxa"/>
            </w:tcMar>
            <w:vAlign w:val="center"/>
          </w:tcPr>
          <w:p>
            <w:pPr>
              <w:spacing w:before="0" w:after="0" w:line="259" w:lineRule="auto"/>
            </w:pPr>
            <w:r>
              <w:rPr>
                <w:rFonts w:ascii="Arial" w:hAnsi="Arial" w:eastAsia="Arial"/>
                <w:color w:val="242524"/>
                <w:sz w:val="15"/>
              </w:rPr>
              <w:t>Non-production flow and runbook draft</w:t>
            </w:r>
          </w:p>
        </w:tc>
        <w:tc>
          <w:tcPr>
            <w:tcW w:type="dxa" w:w="2460"/>
            <w:tcMar>
              <w:top w:w="90" w:type="dxa"/>
              <w:start w:w="120" w:type="dxa"/>
              <w:bottom w:w="90" w:type="dxa"/>
              <w:end w:w="120" w:type="dxa"/>
            </w:tcMar>
            <w:vAlign w:val="center"/>
          </w:tcPr>
          <w:p>
            <w:pPr>
              <w:spacing w:before="0" w:after="0" w:line="259" w:lineRule="auto"/>
            </w:pPr>
            <w:r>
              <w:rPr>
                <w:rFonts w:ascii="Arial" w:hAnsi="Arial" w:eastAsia="Arial"/>
                <w:color w:val="242524"/>
                <w:sz w:val="15"/>
              </w:rPr>
              <w:t>Build complete</w:t>
            </w:r>
          </w:p>
        </w:tc>
      </w:tr>
      <w:tr>
        <w:trPr>
          <w:cantSplit w:val="true"/>
        </w:trPr>
        <w:tc>
          <w:tcPr>
            <w:tcW w:type="dxa" w:w="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06</w:t>
            </w:r>
          </w:p>
        </w:tc>
        <w:tc>
          <w:tcPr>
            <w:tcW w:type="dxa" w:w="20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Connectivity &amp; functional test</w:t>
            </w:r>
          </w:p>
        </w:tc>
        <w:tc>
          <w:tcPr>
            <w:tcW w:type="dxa" w:w="1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5-10 business days</w:t>
            </w:r>
          </w:p>
        </w:tc>
        <w:tc>
          <w:tcPr>
            <w:tcW w:type="dxa" w:w="28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Technical test evidence and defect log</w:t>
            </w:r>
          </w:p>
        </w:tc>
        <w:tc>
          <w:tcPr>
            <w:tcW w:type="dxa" w:w="24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Exit criteria met</w:t>
            </w:r>
          </w:p>
        </w:tc>
      </w:tr>
      <w:tr>
        <w:trPr>
          <w:cantSplit w:val="true"/>
        </w:trPr>
        <w:tc>
          <w:tcPr>
            <w:tcW w:type="dxa" w:w="500"/>
            <w:tcMar>
              <w:top w:w="90" w:type="dxa"/>
              <w:start w:w="120" w:type="dxa"/>
              <w:bottom w:w="90" w:type="dxa"/>
              <w:end w:w="120" w:type="dxa"/>
            </w:tcMar>
            <w:vAlign w:val="center"/>
          </w:tcPr>
          <w:p>
            <w:pPr>
              <w:spacing w:before="0" w:after="0" w:line="259" w:lineRule="auto"/>
            </w:pPr>
            <w:r>
              <w:rPr>
                <w:rFonts w:ascii="Arial" w:hAnsi="Arial" w:eastAsia="Arial"/>
                <w:color w:val="242524"/>
                <w:sz w:val="15"/>
              </w:rPr>
              <w:t>07</w:t>
            </w:r>
          </w:p>
        </w:tc>
        <w:tc>
          <w:tcPr>
            <w:tcW w:type="dxa" w:w="2050"/>
            <w:tcMar>
              <w:top w:w="90" w:type="dxa"/>
              <w:start w:w="120" w:type="dxa"/>
              <w:bottom w:w="90" w:type="dxa"/>
              <w:end w:w="120" w:type="dxa"/>
            </w:tcMar>
            <w:vAlign w:val="center"/>
          </w:tcPr>
          <w:p>
            <w:pPr>
              <w:spacing w:before="0" w:after="0" w:line="259" w:lineRule="auto"/>
            </w:pPr>
            <w:r>
              <w:rPr>
                <w:rFonts w:ascii="Arial" w:hAnsi="Arial" w:eastAsia="Arial"/>
                <w:color w:val="242524"/>
                <w:sz w:val="15"/>
              </w:rPr>
              <w:t>Partner certification</w:t>
            </w:r>
          </w:p>
        </w:tc>
        <w:tc>
          <w:tcPr>
            <w:tcW w:type="dxa" w:w="1500"/>
            <w:tcMar>
              <w:top w:w="90" w:type="dxa"/>
              <w:start w:w="120" w:type="dxa"/>
              <w:bottom w:w="90" w:type="dxa"/>
              <w:end w:w="120" w:type="dxa"/>
            </w:tcMar>
            <w:vAlign w:val="center"/>
          </w:tcPr>
          <w:p>
            <w:pPr>
              <w:spacing w:before="0" w:after="0" w:line="259" w:lineRule="auto"/>
            </w:pPr>
            <w:r>
              <w:rPr>
                <w:rFonts w:ascii="Arial" w:hAnsi="Arial" w:eastAsia="Arial"/>
                <w:color w:val="242524"/>
                <w:sz w:val="15"/>
              </w:rPr>
              <w:t>5-20+ business days</w:t>
            </w:r>
          </w:p>
        </w:tc>
        <w:tc>
          <w:tcPr>
            <w:tcW w:type="dxa" w:w="2850"/>
            <w:tcMar>
              <w:top w:w="90" w:type="dxa"/>
              <w:start w:w="120" w:type="dxa"/>
              <w:bottom w:w="90" w:type="dxa"/>
              <w:end w:w="120" w:type="dxa"/>
            </w:tcMar>
            <w:vAlign w:val="center"/>
          </w:tcPr>
          <w:p>
            <w:pPr>
              <w:spacing w:before="0" w:after="0" w:line="259" w:lineRule="auto"/>
            </w:pPr>
            <w:r>
              <w:rPr>
                <w:rFonts w:ascii="Arial" w:hAnsi="Arial" w:eastAsia="Arial"/>
                <w:color w:val="242524"/>
                <w:sz w:val="15"/>
              </w:rPr>
              <w:t>Partner validation/sign-off</w:t>
            </w:r>
          </w:p>
        </w:tc>
        <w:tc>
          <w:tcPr>
            <w:tcW w:type="dxa" w:w="2460"/>
            <w:tcMar>
              <w:top w:w="90" w:type="dxa"/>
              <w:start w:w="120" w:type="dxa"/>
              <w:bottom w:w="90" w:type="dxa"/>
              <w:end w:w="120" w:type="dxa"/>
            </w:tcMar>
            <w:vAlign w:val="center"/>
          </w:tcPr>
          <w:p>
            <w:pPr>
              <w:spacing w:before="0" w:after="0" w:line="259" w:lineRule="auto"/>
            </w:pPr>
            <w:r>
              <w:rPr>
                <w:rFonts w:ascii="Arial" w:hAnsi="Arial" w:eastAsia="Arial"/>
                <w:color w:val="242524"/>
                <w:sz w:val="15"/>
              </w:rPr>
              <w:t>Certification accepted</w:t>
            </w:r>
          </w:p>
        </w:tc>
      </w:tr>
      <w:tr>
        <w:trPr>
          <w:cantSplit w:val="true"/>
        </w:trPr>
        <w:tc>
          <w:tcPr>
            <w:tcW w:type="dxa" w:w="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08</w:t>
            </w:r>
          </w:p>
        </w:tc>
        <w:tc>
          <w:tcPr>
            <w:tcW w:type="dxa" w:w="20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UAT</w:t>
            </w:r>
          </w:p>
        </w:tc>
        <w:tc>
          <w:tcPr>
            <w:tcW w:type="dxa" w:w="1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3-10 business days</w:t>
            </w:r>
          </w:p>
        </w:tc>
        <w:tc>
          <w:tcPr>
            <w:tcW w:type="dxa" w:w="28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UAT evidence and approval</w:t>
            </w:r>
          </w:p>
        </w:tc>
        <w:tc>
          <w:tcPr>
            <w:tcW w:type="dxa" w:w="24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acceptance complete</w:t>
            </w:r>
          </w:p>
        </w:tc>
      </w:tr>
      <w:tr>
        <w:trPr>
          <w:cantSplit w:val="true"/>
        </w:trPr>
        <w:tc>
          <w:tcPr>
            <w:tcW w:type="dxa" w:w="500"/>
            <w:tcMar>
              <w:top w:w="90" w:type="dxa"/>
              <w:start w:w="120" w:type="dxa"/>
              <w:bottom w:w="90" w:type="dxa"/>
              <w:end w:w="120" w:type="dxa"/>
            </w:tcMar>
            <w:vAlign w:val="center"/>
          </w:tcPr>
          <w:p>
            <w:pPr>
              <w:spacing w:before="0" w:after="0" w:line="259" w:lineRule="auto"/>
            </w:pPr>
            <w:r>
              <w:rPr>
                <w:rFonts w:ascii="Arial" w:hAnsi="Arial" w:eastAsia="Arial"/>
                <w:color w:val="242524"/>
                <w:sz w:val="15"/>
              </w:rPr>
              <w:t>09</w:t>
            </w:r>
          </w:p>
        </w:tc>
        <w:tc>
          <w:tcPr>
            <w:tcW w:type="dxa" w:w="2050"/>
            <w:tcMar>
              <w:top w:w="90" w:type="dxa"/>
              <w:start w:w="120" w:type="dxa"/>
              <w:bottom w:w="90" w:type="dxa"/>
              <w:end w:w="120" w:type="dxa"/>
            </w:tcMar>
            <w:vAlign w:val="center"/>
          </w:tcPr>
          <w:p>
            <w:pPr>
              <w:spacing w:before="0" w:after="0" w:line="259" w:lineRule="auto"/>
            </w:pPr>
            <w:r>
              <w:rPr>
                <w:rFonts w:ascii="Arial" w:hAnsi="Arial" w:eastAsia="Arial"/>
                <w:color w:val="242524"/>
                <w:sz w:val="15"/>
              </w:rPr>
              <w:t>Cutover readiness</w:t>
            </w:r>
          </w:p>
        </w:tc>
        <w:tc>
          <w:tcPr>
            <w:tcW w:type="dxa" w:w="1500"/>
            <w:tcMar>
              <w:top w:w="90" w:type="dxa"/>
              <w:start w:w="120" w:type="dxa"/>
              <w:bottom w:w="90" w:type="dxa"/>
              <w:end w:w="120" w:type="dxa"/>
            </w:tcMar>
            <w:vAlign w:val="center"/>
          </w:tcPr>
          <w:p>
            <w:pPr>
              <w:spacing w:before="0" w:after="0" w:line="259" w:lineRule="auto"/>
            </w:pPr>
            <w:r>
              <w:rPr>
                <w:rFonts w:ascii="Arial" w:hAnsi="Arial" w:eastAsia="Arial"/>
                <w:color w:val="242524"/>
                <w:sz w:val="15"/>
              </w:rPr>
              <w:t>2-5 business days</w:t>
            </w:r>
          </w:p>
        </w:tc>
        <w:tc>
          <w:tcPr>
            <w:tcW w:type="dxa" w:w="2850"/>
            <w:tcMar>
              <w:top w:w="90" w:type="dxa"/>
              <w:start w:w="120" w:type="dxa"/>
              <w:bottom w:w="90" w:type="dxa"/>
              <w:end w:w="120" w:type="dxa"/>
            </w:tcMar>
            <w:vAlign w:val="center"/>
          </w:tcPr>
          <w:p>
            <w:pPr>
              <w:spacing w:before="0" w:after="0" w:line="259" w:lineRule="auto"/>
            </w:pPr>
            <w:r>
              <w:rPr>
                <w:rFonts w:ascii="Arial" w:hAnsi="Arial" w:eastAsia="Arial"/>
                <w:color w:val="242524"/>
                <w:sz w:val="15"/>
              </w:rPr>
              <w:t>Go/no-go, rollback, hypercare plan</w:t>
            </w:r>
          </w:p>
        </w:tc>
        <w:tc>
          <w:tcPr>
            <w:tcW w:type="dxa" w:w="2460"/>
            <w:tcMar>
              <w:top w:w="90" w:type="dxa"/>
              <w:start w:w="120" w:type="dxa"/>
              <w:bottom w:w="90" w:type="dxa"/>
              <w:end w:w="120" w:type="dxa"/>
            </w:tcMar>
            <w:vAlign w:val="center"/>
          </w:tcPr>
          <w:p>
            <w:pPr>
              <w:spacing w:before="0" w:after="0" w:line="259" w:lineRule="auto"/>
            </w:pPr>
            <w:r>
              <w:rPr>
                <w:rFonts w:ascii="Arial" w:hAnsi="Arial" w:eastAsia="Arial"/>
                <w:color w:val="242524"/>
                <w:sz w:val="15"/>
              </w:rPr>
              <w:t>Production approved</w:t>
            </w:r>
          </w:p>
        </w:tc>
      </w:tr>
      <w:tr>
        <w:trPr>
          <w:cantSplit w:val="true"/>
        </w:trPr>
        <w:tc>
          <w:tcPr>
            <w:tcW w:type="dxa" w:w="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10</w:t>
            </w:r>
          </w:p>
        </w:tc>
        <w:tc>
          <w:tcPr>
            <w:tcW w:type="dxa" w:w="20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Production rollout</w:t>
            </w:r>
          </w:p>
        </w:tc>
        <w:tc>
          <w:tcPr>
            <w:tcW w:type="dxa" w:w="1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One agreed window</w:t>
            </w:r>
          </w:p>
        </w:tc>
        <w:tc>
          <w:tcPr>
            <w:tcW w:type="dxa" w:w="28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Production validation evidence</w:t>
            </w:r>
          </w:p>
        </w:tc>
        <w:tc>
          <w:tcPr>
            <w:tcW w:type="dxa" w:w="24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First transactions reconciled</w:t>
            </w:r>
          </w:p>
        </w:tc>
      </w:tr>
      <w:tr>
        <w:trPr>
          <w:cantSplit w:val="true"/>
        </w:trPr>
        <w:tc>
          <w:tcPr>
            <w:tcW w:type="dxa" w:w="500"/>
            <w:tcMar>
              <w:top w:w="90" w:type="dxa"/>
              <w:start w:w="120" w:type="dxa"/>
              <w:bottom w:w="90" w:type="dxa"/>
              <w:end w:w="120" w:type="dxa"/>
            </w:tcMar>
            <w:vAlign w:val="center"/>
          </w:tcPr>
          <w:p>
            <w:pPr>
              <w:spacing w:before="0" w:after="0" w:line="259" w:lineRule="auto"/>
            </w:pPr>
            <w:r>
              <w:rPr>
                <w:rFonts w:ascii="Arial" w:hAnsi="Arial" w:eastAsia="Arial"/>
                <w:color w:val="242524"/>
                <w:sz w:val="15"/>
              </w:rPr>
              <w:t>11</w:t>
            </w:r>
          </w:p>
        </w:tc>
        <w:tc>
          <w:tcPr>
            <w:tcW w:type="dxa" w:w="2050"/>
            <w:tcMar>
              <w:top w:w="90" w:type="dxa"/>
              <w:start w:w="120" w:type="dxa"/>
              <w:bottom w:w="90" w:type="dxa"/>
              <w:end w:w="120" w:type="dxa"/>
            </w:tcMar>
            <w:vAlign w:val="center"/>
          </w:tcPr>
          <w:p>
            <w:pPr>
              <w:spacing w:before="0" w:after="0" w:line="259" w:lineRule="auto"/>
            </w:pPr>
            <w:r>
              <w:rPr>
                <w:rFonts w:ascii="Arial" w:hAnsi="Arial" w:eastAsia="Arial"/>
                <w:color w:val="242524"/>
                <w:sz w:val="15"/>
              </w:rPr>
              <w:t>Hypercare &amp; transition</w:t>
            </w:r>
          </w:p>
        </w:tc>
        <w:tc>
          <w:tcPr>
            <w:tcW w:type="dxa" w:w="1500"/>
            <w:tcMar>
              <w:top w:w="90" w:type="dxa"/>
              <w:start w:w="120" w:type="dxa"/>
              <w:bottom w:w="90" w:type="dxa"/>
              <w:end w:w="120" w:type="dxa"/>
            </w:tcMar>
            <w:vAlign w:val="center"/>
          </w:tcPr>
          <w:p>
            <w:pPr>
              <w:spacing w:before="0" w:after="0" w:line="259" w:lineRule="auto"/>
            </w:pPr>
            <w:r>
              <w:rPr>
                <w:rFonts w:ascii="Arial" w:hAnsi="Arial" w:eastAsia="Arial"/>
                <w:color w:val="242524"/>
                <w:sz w:val="15"/>
              </w:rPr>
              <w:t>5-10 business days</w:t>
            </w:r>
          </w:p>
        </w:tc>
        <w:tc>
          <w:tcPr>
            <w:tcW w:type="dxa" w:w="2850"/>
            <w:tcMar>
              <w:top w:w="90" w:type="dxa"/>
              <w:start w:w="120" w:type="dxa"/>
              <w:bottom w:w="90" w:type="dxa"/>
              <w:end w:w="120" w:type="dxa"/>
            </w:tcMar>
            <w:vAlign w:val="center"/>
          </w:tcPr>
          <w:p>
            <w:pPr>
              <w:spacing w:before="0" w:after="0" w:line="259" w:lineRule="auto"/>
            </w:pPr>
            <w:r>
              <w:rPr>
                <w:rFonts w:ascii="Arial" w:hAnsi="Arial" w:eastAsia="Arial"/>
                <w:color w:val="242524"/>
                <w:sz w:val="15"/>
              </w:rPr>
              <w:t>Stabilization report and support handoff</w:t>
            </w:r>
          </w:p>
        </w:tc>
        <w:tc>
          <w:tcPr>
            <w:tcW w:type="dxa" w:w="2460"/>
            <w:tcMar>
              <w:top w:w="90" w:type="dxa"/>
              <w:start w:w="120" w:type="dxa"/>
              <w:bottom w:w="90" w:type="dxa"/>
              <w:end w:w="120" w:type="dxa"/>
            </w:tcMar>
            <w:vAlign w:val="center"/>
          </w:tcPr>
          <w:p>
            <w:pPr>
              <w:spacing w:before="0" w:after="0" w:line="259" w:lineRule="auto"/>
            </w:pPr>
            <w:r>
              <w:rPr>
                <w:rFonts w:ascii="Arial" w:hAnsi="Arial" w:eastAsia="Arial"/>
                <w:color w:val="242524"/>
                <w:sz w:val="15"/>
              </w:rPr>
              <w:t>Hypercare exit approved</w:t>
            </w:r>
          </w:p>
        </w:tc>
      </w:tr>
    </w:tbl>
    <w:p>
      <w:pPr>
        <w:spacing w:before="0" w:after="100"/>
      </w:pPr>
    </w:p>
    <w:p>
      <w:pPr>
        <w:pStyle w:val="Heading2"/>
        <w:keepNext/>
        <w:keepLines/>
      </w:pPr>
      <w:r>
        <w:rPr>
          <w:rFonts w:ascii="Arial" w:hAnsi="Arial" w:eastAsia="Arial"/>
          <w:b/>
          <w:color w:val="B22125"/>
          <w:sz w:val="27"/>
        </w:rPr>
        <w:t>3.1 Partner-facing planning bands</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2350"/>
        <w:gridCol w:w="1700"/>
        <w:gridCol w:w="5310"/>
      </w:tblGrid>
      <w:tr>
        <w:trPr>
          <w:tblHeader w:val="true"/>
          <w:cantSplit w:val="true"/>
        </w:trPr>
        <w:tc>
          <w:tcPr>
            <w:tcW w:type="dxa" w:w="235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Band</w:t>
            </w:r>
          </w:p>
        </w:tc>
        <w:tc>
          <w:tcPr>
            <w:tcW w:type="dxa" w:w="17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Indicative range</w:t>
            </w:r>
          </w:p>
        </w:tc>
        <w:tc>
          <w:tcPr>
            <w:tcW w:type="dxa" w:w="531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Typical characteristics</w:t>
            </w:r>
          </w:p>
        </w:tc>
      </w:tr>
      <w:tr>
        <w:trPr>
          <w:cantSplit w:val="true"/>
        </w:trPr>
        <w:tc>
          <w:tcPr>
            <w:tcW w:type="dxa" w:w="2350"/>
            <w:tcMar>
              <w:top w:w="90" w:type="dxa"/>
              <w:start w:w="120" w:type="dxa"/>
              <w:bottom w:w="90" w:type="dxa"/>
              <w:end w:w="120" w:type="dxa"/>
            </w:tcMar>
            <w:vAlign w:val="center"/>
          </w:tcPr>
          <w:p>
            <w:pPr>
              <w:spacing w:before="0" w:after="0" w:line="259" w:lineRule="auto"/>
            </w:pPr>
            <w:r>
              <w:rPr>
                <w:rFonts w:ascii="Arial" w:hAnsi="Arial" w:eastAsia="Arial"/>
                <w:color w:val="242524"/>
                <w:sz w:val="17"/>
              </w:rPr>
              <w:t>Focused file or API flow</w:t>
            </w:r>
          </w:p>
        </w:tc>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7"/>
              </w:rPr>
              <w:t>4-6 weeks</w:t>
            </w:r>
          </w:p>
        </w:tc>
        <w:tc>
          <w:tcPr>
            <w:tcW w:type="dxa" w:w="5310"/>
            <w:tcMar>
              <w:top w:w="90" w:type="dxa"/>
              <w:start w:w="120" w:type="dxa"/>
              <w:bottom w:w="90" w:type="dxa"/>
              <w:end w:w="120" w:type="dxa"/>
            </w:tcMar>
            <w:vAlign w:val="center"/>
          </w:tcPr>
          <w:p>
            <w:pPr>
              <w:spacing w:before="0" w:after="0" w:line="259" w:lineRule="auto"/>
            </w:pPr>
            <w:r>
              <w:rPr>
                <w:rFonts w:ascii="Arial" w:hAnsi="Arial" w:eastAsia="Arial"/>
                <w:color w:val="242524"/>
                <w:sz w:val="17"/>
              </w:rPr>
              <w:t>One or two low-complexity objects; ready specification; standard authentication; available test contacts</w:t>
            </w:r>
          </w:p>
        </w:tc>
      </w:tr>
      <w:tr>
        <w:trPr>
          <w:cantSplit w:val="true"/>
        </w:trPr>
        <w:tc>
          <w:tcPr>
            <w:tcW w:type="dxa" w:w="23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Standard EDI onboarding</w:t>
            </w:r>
          </w:p>
        </w:tc>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6-10 weeks</w:t>
            </w:r>
          </w:p>
        </w:tc>
        <w:tc>
          <w:tcPr>
            <w:tcW w:type="dxa" w:w="531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Common X12 set; partner certification; ERPNext mapping; business UAT; cutover and hypercare</w:t>
            </w:r>
          </w:p>
        </w:tc>
      </w:tr>
      <w:tr>
        <w:trPr>
          <w:cantSplit w:val="true"/>
        </w:trPr>
        <w:tc>
          <w:tcPr>
            <w:tcW w:type="dxa" w:w="2350"/>
            <w:tcMar>
              <w:top w:w="90" w:type="dxa"/>
              <w:start w:w="120" w:type="dxa"/>
              <w:bottom w:w="90" w:type="dxa"/>
              <w:end w:w="120" w:type="dxa"/>
            </w:tcMar>
            <w:vAlign w:val="center"/>
          </w:tcPr>
          <w:p>
            <w:pPr>
              <w:spacing w:before="0" w:after="0" w:line="259" w:lineRule="auto"/>
            </w:pPr>
            <w:r>
              <w:rPr>
                <w:rFonts w:ascii="Arial" w:hAnsi="Arial" w:eastAsia="Arial"/>
                <w:color w:val="242524"/>
                <w:sz w:val="17"/>
              </w:rPr>
              <w:t>Multi-flow program</w:t>
            </w:r>
          </w:p>
        </w:tc>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7"/>
              </w:rPr>
              <w:t>10-16+ weeks</w:t>
            </w:r>
          </w:p>
        </w:tc>
        <w:tc>
          <w:tcPr>
            <w:tcW w:type="dxa" w:w="5310"/>
            <w:tcMar>
              <w:top w:w="90" w:type="dxa"/>
              <w:start w:w="120" w:type="dxa"/>
              <w:bottom w:w="90" w:type="dxa"/>
              <w:end w:w="120" w:type="dxa"/>
            </w:tcMar>
            <w:vAlign w:val="center"/>
          </w:tcPr>
          <w:p>
            <w:pPr>
              <w:spacing w:before="0" w:after="0" w:line="259" w:lineRule="auto"/>
            </w:pPr>
            <w:r>
              <w:rPr>
                <w:rFonts w:ascii="Arial" w:hAnsi="Arial" w:eastAsia="Arial"/>
                <w:color w:val="242524"/>
                <w:sz w:val="17"/>
              </w:rPr>
              <w:t>Multiple documents, locations, complex master data, custom APIs, external dependencies, or phased rollout</w:t>
            </w:r>
          </w:p>
        </w:tc>
      </w:tr>
    </w:tbl>
    <w:p>
      <w:pPr>
        <w:spacing w:before="0" w:after="100"/>
      </w:pPr>
    </w:p>
    <w:p>
      <w:r>
        <w:br w:type="page"/>
      </w:r>
    </w:p>
    <w:p>
      <w:pPr>
        <w:pStyle w:val="Heading1"/>
        <w:keepNext/>
        <w:keepLines/>
      </w:pPr>
      <w:r>
        <w:rPr>
          <w:rFonts w:ascii="Arial" w:hAnsi="Arial" w:eastAsia="Arial"/>
          <w:b/>
          <w:color w:val="B22125"/>
          <w:sz w:val="36"/>
        </w:rPr>
        <w:t>4. Phase-by-phase execution playbook</w:t>
      </w:r>
    </w:p>
    <w:p>
      <w:pPr>
        <w:spacing w:before="160" w:after="200" w:line="276" w:lineRule="auto"/>
        <w:ind w:left="259" w:right="173"/>
        <w:shd w:fill="F1F1EF" w:val="clear"/>
        <w:pBdr>
          <w:left w:val="single" w:sz="20" w:space="10" w:color="B22125"/>
        </w:pBdr>
      </w:pPr>
      <w:r>
        <w:rPr>
          <w:rFonts w:ascii="Arial" w:hAnsi="Arial" w:eastAsia="Arial"/>
          <w:b/>
          <w:color w:val="070707"/>
          <w:sz w:val="20"/>
        </w:rPr>
        <w:t xml:space="preserve">Evidence rule: </w:t>
      </w:r>
      <w:r>
        <w:rPr>
          <w:rFonts w:ascii="Arial" w:hAnsi="Arial" w:eastAsia="Arial"/>
          <w:color w:val="242524"/>
          <w:sz w:val="20"/>
        </w:rPr>
        <w:t>A phase is not complete because a meeting occurred or a configuration exists. The named output and exit criteria must be recorded in the project artifact location.</w:t>
      </w:r>
    </w:p>
    <w:p>
      <w:pPr>
        <w:pStyle w:val="Heading2"/>
        <w:keepNext/>
        <w:keepLines/>
        <w:spacing w:before="320"/>
      </w:pPr>
      <w:r>
        <w:rPr>
          <w:rFonts w:ascii="Arial" w:hAnsi="Arial" w:eastAsia="Arial"/>
          <w:b/>
          <w:color w:val="B22125"/>
          <w:sz w:val="27"/>
        </w:rPr>
        <w:t>01  Initial contact and triage</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1-2 business days   </w:t>
      </w:r>
      <w:r>
        <w:rPr>
          <w:rFonts w:ascii="Arial" w:hAnsi="Arial" w:eastAsia="Arial"/>
          <w:b/>
          <w:color w:val="FFFFFF"/>
          <w:sz w:val="17"/>
        </w:rPr>
        <w:t xml:space="preserve"> Accountable owner: </w:t>
      </w:r>
      <w:r>
        <w:rPr>
          <w:rFonts w:ascii="Arial" w:hAnsi="Arial" w:eastAsia="Arial"/>
          <w:color w:val="FFFFFF"/>
          <w:sz w:val="17"/>
        </w:rPr>
        <w:t xml:space="preserve">Ultra PRO integration owner / EDI Support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Create a traceable request, identify urgency and business intent, and assign an owner.</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Partner email to edisupport@ultrapro.com or Microsoft Bookings appointment</w:t>
      </w:r>
    </w:p>
    <w:p>
      <w:pPr>
        <w:spacing w:after="80" w:line="300" w:lineRule="auto"/>
        <w:numPr>
          <w:ilvl w:val="0"/>
          <w:numId w:val="10"/>
        </w:numPr>
      </w:pPr>
      <w:r>
        <w:rPr>
          <w:rFonts w:ascii="Arial" w:hAnsi="Arial" w:eastAsia="Arial"/>
          <w:color w:val="242524"/>
          <w:sz w:val="21"/>
        </w:rPr>
        <w:t>Company, partner type, contacts, requested outcome, target window</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Acknowledge the request and create the intake record</w:t>
      </w:r>
    </w:p>
    <w:p>
      <w:pPr>
        <w:spacing w:after="80" w:line="300" w:lineRule="auto"/>
        <w:numPr>
          <w:ilvl w:val="0"/>
          <w:numId w:val="10"/>
        </w:numPr>
      </w:pPr>
      <w:r>
        <w:rPr>
          <w:rFonts w:ascii="Arial" w:hAnsi="Arial" w:eastAsia="Arial"/>
          <w:color w:val="242524"/>
          <w:sz w:val="21"/>
        </w:rPr>
        <w:t>Identify the Ultra PRO business sponsor and affected departments</w:t>
      </w:r>
    </w:p>
    <w:p>
      <w:pPr>
        <w:spacing w:after="80" w:line="300" w:lineRule="auto"/>
        <w:numPr>
          <w:ilvl w:val="0"/>
          <w:numId w:val="10"/>
        </w:numPr>
      </w:pPr>
      <w:r>
        <w:rPr>
          <w:rFonts w:ascii="Arial" w:hAnsi="Arial" w:eastAsia="Arial"/>
          <w:color w:val="242524"/>
          <w:sz w:val="21"/>
        </w:rPr>
        <w:t>Classify new onboarding, scope expansion, migration, defect, or re-certification</w:t>
      </w:r>
    </w:p>
    <w:p>
      <w:pPr>
        <w:spacing w:after="80" w:line="300" w:lineRule="auto"/>
        <w:numPr>
          <w:ilvl w:val="0"/>
          <w:numId w:val="10"/>
        </w:numPr>
      </w:pPr>
      <w:r>
        <w:rPr>
          <w:rFonts w:ascii="Arial" w:hAnsi="Arial" w:eastAsia="Arial"/>
          <w:color w:val="242524"/>
          <w:sz w:val="21"/>
        </w:rPr>
        <w:t>Schedule discovery and provide the safe-data reminder</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Assigned intake record</w:t>
      </w:r>
    </w:p>
    <w:p>
      <w:pPr>
        <w:spacing w:after="80" w:line="300" w:lineRule="auto"/>
        <w:numPr>
          <w:ilvl w:val="0"/>
          <w:numId w:val="10"/>
        </w:numPr>
      </w:pPr>
      <w:r>
        <w:rPr>
          <w:rFonts w:ascii="Arial" w:hAnsi="Arial" w:eastAsia="Arial"/>
          <w:color w:val="242524"/>
          <w:sz w:val="21"/>
        </w:rPr>
        <w:t>Discovery meeting and requested pre-read list</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Owner assigned</w:t>
      </w:r>
    </w:p>
    <w:p>
      <w:pPr>
        <w:spacing w:after="80" w:line="300" w:lineRule="auto"/>
        <w:numPr>
          <w:ilvl w:val="0"/>
          <w:numId w:val="10"/>
        </w:numPr>
      </w:pPr>
      <w:r>
        <w:rPr>
          <w:rFonts w:ascii="Arial" w:hAnsi="Arial" w:eastAsia="Arial"/>
          <w:color w:val="242524"/>
          <w:sz w:val="21"/>
        </w:rPr>
        <w:t>Business sponsor identified</w:t>
      </w:r>
    </w:p>
    <w:p>
      <w:pPr>
        <w:spacing w:after="80" w:line="300" w:lineRule="auto"/>
        <w:numPr>
          <w:ilvl w:val="0"/>
          <w:numId w:val="10"/>
        </w:numPr>
      </w:pPr>
      <w:r>
        <w:rPr>
          <w:rFonts w:ascii="Arial" w:hAnsi="Arial" w:eastAsia="Arial"/>
          <w:color w:val="242524"/>
          <w:sz w:val="21"/>
        </w:rPr>
        <w:t>Request type and priority recorded</w:t>
      </w:r>
    </w:p>
    <w:p>
      <w:pPr>
        <w:spacing w:after="80" w:line="300" w:lineRule="auto"/>
        <w:numPr>
          <w:ilvl w:val="0"/>
          <w:numId w:val="10"/>
        </w:numPr>
      </w:pPr>
      <w:r>
        <w:rPr>
          <w:rFonts w:ascii="Arial" w:hAnsi="Arial" w:eastAsia="Arial"/>
          <w:color w:val="242524"/>
          <w:sz w:val="21"/>
        </w:rPr>
        <w:t>Partner knows the next step</w:t>
      </w:r>
    </w:p>
    <w:p>
      <w:pPr>
        <w:pStyle w:val="Heading2"/>
        <w:keepNext/>
        <w:keepLines/>
        <w:spacing w:before="320"/>
      </w:pPr>
      <w:r>
        <w:rPr>
          <w:rFonts w:ascii="Arial" w:hAnsi="Arial" w:eastAsia="Arial"/>
          <w:b/>
          <w:color w:val="B22125"/>
          <w:sz w:val="27"/>
        </w:rPr>
        <w:t>02  Scope and readiness</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3-10 business days   </w:t>
      </w:r>
      <w:r>
        <w:rPr>
          <w:rFonts w:ascii="Arial" w:hAnsi="Arial" w:eastAsia="Arial"/>
          <w:b/>
          <w:color w:val="FFFFFF"/>
          <w:sz w:val="17"/>
        </w:rPr>
        <w:t xml:space="preserve"> Accountable owner: </w:t>
      </w:r>
      <w:r>
        <w:rPr>
          <w:rFonts w:ascii="Arial" w:hAnsi="Arial" w:eastAsia="Arial"/>
          <w:color w:val="FFFFFF"/>
          <w:sz w:val="17"/>
        </w:rPr>
        <w:t xml:space="preserve">Ultra PRO business owner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Define the problem, lane, flows, value, constraints, owners, and readiness before solution design.</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Partner implementation guide, API documentation, or file schema</w:t>
      </w:r>
    </w:p>
    <w:p>
      <w:pPr>
        <w:spacing w:after="80" w:line="300" w:lineRule="auto"/>
        <w:numPr>
          <w:ilvl w:val="0"/>
          <w:numId w:val="10"/>
        </w:numPr>
      </w:pPr>
      <w:r>
        <w:rPr>
          <w:rFonts w:ascii="Arial" w:hAnsi="Arial" w:eastAsia="Arial"/>
          <w:color w:val="242524"/>
          <w:sz w:val="21"/>
        </w:rPr>
        <w:t>Business process, current manual work, volumes, SLAs, and desired dates</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List every document, API object, or file and its direction</w:t>
      </w:r>
    </w:p>
    <w:p>
      <w:pPr>
        <w:spacing w:after="80" w:line="300" w:lineRule="auto"/>
        <w:numPr>
          <w:ilvl w:val="0"/>
          <w:numId w:val="10"/>
        </w:numPr>
      </w:pPr>
      <w:r>
        <w:rPr>
          <w:rFonts w:ascii="Arial" w:hAnsi="Arial" w:eastAsia="Arial"/>
          <w:color w:val="242524"/>
          <w:sz w:val="21"/>
        </w:rPr>
        <w:t>Define what connected means in plain business language</w:t>
      </w:r>
    </w:p>
    <w:p>
      <w:pPr>
        <w:spacing w:after="80" w:line="300" w:lineRule="auto"/>
        <w:numPr>
          <w:ilvl w:val="0"/>
          <w:numId w:val="10"/>
        </w:numPr>
      </w:pPr>
      <w:r>
        <w:rPr>
          <w:rFonts w:ascii="Arial" w:hAnsi="Arial" w:eastAsia="Arial"/>
          <w:color w:val="242524"/>
          <w:sz w:val="21"/>
        </w:rPr>
        <w:t>Identify partner portal/certification steps and external queues</w:t>
      </w:r>
    </w:p>
    <w:p>
      <w:pPr>
        <w:spacing w:after="80" w:line="300" w:lineRule="auto"/>
        <w:numPr>
          <w:ilvl w:val="0"/>
          <w:numId w:val="10"/>
        </w:numPr>
      </w:pPr>
      <w:r>
        <w:rPr>
          <w:rFonts w:ascii="Arial" w:hAnsi="Arial" w:eastAsia="Arial"/>
          <w:color w:val="242524"/>
          <w:sz w:val="21"/>
        </w:rPr>
        <w:t>Assign business, technical, application, master-data, exception, and escalation owners</w:t>
      </w:r>
    </w:p>
    <w:p>
      <w:pPr>
        <w:spacing w:after="80" w:line="300" w:lineRule="auto"/>
        <w:numPr>
          <w:ilvl w:val="0"/>
          <w:numId w:val="10"/>
        </w:numPr>
      </w:pPr>
      <w:r>
        <w:rPr>
          <w:rFonts w:ascii="Arial" w:hAnsi="Arial" w:eastAsia="Arial"/>
          <w:color w:val="242524"/>
          <w:sz w:val="21"/>
        </w:rPr>
        <w:t>Record dependencies, assumptions, exclusions, manual fallbacks, and retired manual steps</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Scope baseline</w:t>
      </w:r>
    </w:p>
    <w:p>
      <w:pPr>
        <w:spacing w:after="80" w:line="300" w:lineRule="auto"/>
        <w:numPr>
          <w:ilvl w:val="0"/>
          <w:numId w:val="10"/>
        </w:numPr>
      </w:pPr>
      <w:r>
        <w:rPr>
          <w:rFonts w:ascii="Arial" w:hAnsi="Arial" w:eastAsia="Arial"/>
          <w:color w:val="242524"/>
          <w:sz w:val="21"/>
        </w:rPr>
        <w:t>Lane assignment</w:t>
      </w:r>
    </w:p>
    <w:p>
      <w:pPr>
        <w:spacing w:after="80" w:line="300" w:lineRule="auto"/>
        <w:numPr>
          <w:ilvl w:val="0"/>
          <w:numId w:val="10"/>
        </w:numPr>
      </w:pPr>
      <w:r>
        <w:rPr>
          <w:rFonts w:ascii="Arial" w:hAnsi="Arial" w:eastAsia="Arial"/>
          <w:color w:val="242524"/>
          <w:sz w:val="21"/>
        </w:rPr>
        <w:t>Partner guide register</w:t>
      </w:r>
    </w:p>
    <w:p>
      <w:pPr>
        <w:spacing w:after="80" w:line="300" w:lineRule="auto"/>
        <w:numPr>
          <w:ilvl w:val="0"/>
          <w:numId w:val="10"/>
        </w:numPr>
      </w:pPr>
      <w:r>
        <w:rPr>
          <w:rFonts w:ascii="Arial" w:hAnsi="Arial" w:eastAsia="Arial"/>
          <w:color w:val="242524"/>
          <w:sz w:val="21"/>
        </w:rPr>
        <w:t>Acceptance criteria draft</w:t>
      </w:r>
    </w:p>
    <w:p>
      <w:pPr>
        <w:spacing w:after="80" w:line="300" w:lineRule="auto"/>
        <w:numPr>
          <w:ilvl w:val="0"/>
          <w:numId w:val="10"/>
        </w:numPr>
      </w:pPr>
      <w:r>
        <w:rPr>
          <w:rFonts w:ascii="Arial" w:hAnsi="Arial" w:eastAsia="Arial"/>
          <w:color w:val="242524"/>
          <w:sz w:val="21"/>
        </w:rPr>
        <w:t>Dependency and owner list</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No unknown in-scope flow</w:t>
      </w:r>
    </w:p>
    <w:p>
      <w:pPr>
        <w:spacing w:after="80" w:line="300" w:lineRule="auto"/>
        <w:numPr>
          <w:ilvl w:val="0"/>
          <w:numId w:val="10"/>
        </w:numPr>
      </w:pPr>
      <w:r>
        <w:rPr>
          <w:rFonts w:ascii="Arial" w:hAnsi="Arial" w:eastAsia="Arial"/>
          <w:color w:val="242524"/>
          <w:sz w:val="21"/>
        </w:rPr>
        <w:t>Owners are named</w:t>
      </w:r>
    </w:p>
    <w:p>
      <w:pPr>
        <w:spacing w:after="80" w:line="300" w:lineRule="auto"/>
        <w:numPr>
          <w:ilvl w:val="0"/>
          <w:numId w:val="10"/>
        </w:numPr>
      </w:pPr>
      <w:r>
        <w:rPr>
          <w:rFonts w:ascii="Arial" w:hAnsi="Arial" w:eastAsia="Arial"/>
          <w:color w:val="242524"/>
          <w:sz w:val="21"/>
        </w:rPr>
        <w:t>Guide/specification is current</w:t>
      </w:r>
    </w:p>
    <w:p>
      <w:pPr>
        <w:spacing w:after="80" w:line="300" w:lineRule="auto"/>
        <w:numPr>
          <w:ilvl w:val="0"/>
          <w:numId w:val="10"/>
        </w:numPr>
      </w:pPr>
      <w:r>
        <w:rPr>
          <w:rFonts w:ascii="Arial" w:hAnsi="Arial" w:eastAsia="Arial"/>
          <w:color w:val="242524"/>
          <w:sz w:val="21"/>
        </w:rPr>
        <w:t>Target date is treated as conditional until planning completes</w:t>
      </w:r>
    </w:p>
    <w:p>
      <w:pPr>
        <w:pStyle w:val="Heading2"/>
        <w:keepNext/>
        <w:keepLines/>
        <w:spacing w:before="320"/>
      </w:pPr>
      <w:r>
        <w:rPr>
          <w:rFonts w:ascii="Arial" w:hAnsi="Arial" w:eastAsia="Arial"/>
          <w:b/>
          <w:color w:val="B22125"/>
          <w:sz w:val="27"/>
        </w:rPr>
        <w:t>03  Connectivity and data review</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3-10 business days; may run with Phase 02   </w:t>
      </w:r>
      <w:r>
        <w:rPr>
          <w:rFonts w:ascii="Arial" w:hAnsi="Arial" w:eastAsia="Arial"/>
          <w:b/>
          <w:color w:val="FFFFFF"/>
          <w:sz w:val="17"/>
        </w:rPr>
        <w:t xml:space="preserve"> Accountable owner: </w:t>
      </w:r>
      <w:r>
        <w:rPr>
          <w:rFonts w:ascii="Arial" w:hAnsi="Arial" w:eastAsia="Arial"/>
          <w:color w:val="FFFFFF"/>
          <w:sz w:val="17"/>
        </w:rPr>
        <w:t xml:space="preserve">Information Security / IT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Approve how systems authenticate, connect, protect data, and exchange non-production and production material.</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Lane and flow inventory</w:t>
      </w:r>
    </w:p>
    <w:p>
      <w:pPr>
        <w:spacing w:after="80" w:line="300" w:lineRule="auto"/>
        <w:numPr>
          <w:ilvl w:val="0"/>
          <w:numId w:val="10"/>
        </w:numPr>
      </w:pPr>
      <w:r>
        <w:rPr>
          <w:rFonts w:ascii="Arial" w:hAnsi="Arial" w:eastAsia="Arial"/>
          <w:color w:val="242524"/>
          <w:sz w:val="21"/>
        </w:rPr>
        <w:t>Partner connectivity questionnaire</w:t>
      </w:r>
    </w:p>
    <w:p>
      <w:pPr>
        <w:spacing w:after="80" w:line="300" w:lineRule="auto"/>
        <w:numPr>
          <w:ilvl w:val="0"/>
          <w:numId w:val="10"/>
        </w:numPr>
      </w:pPr>
      <w:r>
        <w:rPr>
          <w:rFonts w:ascii="Arial" w:hAnsi="Arial" w:eastAsia="Arial"/>
          <w:color w:val="242524"/>
          <w:sz w:val="21"/>
        </w:rPr>
        <w:t>Data classification and volume</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Select AS2, SFTP, HTTPS/API, or approved alternative</w:t>
      </w:r>
    </w:p>
    <w:p>
      <w:pPr>
        <w:spacing w:after="80" w:line="300" w:lineRule="auto"/>
        <w:numPr>
          <w:ilvl w:val="0"/>
          <w:numId w:val="10"/>
        </w:numPr>
      </w:pPr>
      <w:r>
        <w:rPr>
          <w:rFonts w:ascii="Arial" w:hAnsi="Arial" w:eastAsia="Arial"/>
          <w:color w:val="242524"/>
          <w:sz w:val="21"/>
        </w:rPr>
        <w:t>Define certificate, SSH key, OAuth, mTLS, API credential, IP allowlist, and rotation needs</w:t>
      </w:r>
    </w:p>
    <w:p>
      <w:pPr>
        <w:spacing w:after="80" w:line="300" w:lineRule="auto"/>
        <w:numPr>
          <w:ilvl w:val="0"/>
          <w:numId w:val="10"/>
        </w:numPr>
      </w:pPr>
      <w:r>
        <w:rPr>
          <w:rFonts w:ascii="Arial" w:hAnsi="Arial" w:eastAsia="Arial"/>
          <w:color w:val="242524"/>
          <w:sz w:val="21"/>
        </w:rPr>
        <w:t>Separate test and production endpoints, identities, folders, and secrets</w:t>
      </w:r>
    </w:p>
    <w:p>
      <w:pPr>
        <w:spacing w:after="80" w:line="300" w:lineRule="auto"/>
        <w:numPr>
          <w:ilvl w:val="0"/>
          <w:numId w:val="10"/>
        </w:numPr>
      </w:pPr>
      <w:r>
        <w:rPr>
          <w:rFonts w:ascii="Arial" w:hAnsi="Arial" w:eastAsia="Arial"/>
          <w:color w:val="242524"/>
          <w:sz w:val="21"/>
        </w:rPr>
        <w:t>Confirm secure delivery method for samples, credentials, certificates, and restricted evidence</w:t>
      </w:r>
    </w:p>
    <w:p>
      <w:pPr>
        <w:spacing w:after="80" w:line="300" w:lineRule="auto"/>
        <w:numPr>
          <w:ilvl w:val="0"/>
          <w:numId w:val="10"/>
        </w:numPr>
      </w:pPr>
      <w:r>
        <w:rPr>
          <w:rFonts w:ascii="Arial" w:hAnsi="Arial" w:eastAsia="Arial"/>
          <w:color w:val="242524"/>
          <w:sz w:val="21"/>
        </w:rPr>
        <w:t>Define retention, archive, quarantine, logging, and sensitive-field handling</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Approved connectivity/security design</w:t>
      </w:r>
    </w:p>
    <w:p>
      <w:pPr>
        <w:spacing w:after="80" w:line="300" w:lineRule="auto"/>
        <w:numPr>
          <w:ilvl w:val="0"/>
          <w:numId w:val="10"/>
        </w:numPr>
      </w:pPr>
      <w:r>
        <w:rPr>
          <w:rFonts w:ascii="Arial" w:hAnsi="Arial" w:eastAsia="Arial"/>
          <w:color w:val="242524"/>
          <w:sz w:val="21"/>
        </w:rPr>
        <w:t>Credential and certificate ownership record</w:t>
      </w:r>
    </w:p>
    <w:p>
      <w:pPr>
        <w:spacing w:after="80" w:line="300" w:lineRule="auto"/>
        <w:numPr>
          <w:ilvl w:val="0"/>
          <w:numId w:val="10"/>
        </w:numPr>
      </w:pPr>
      <w:r>
        <w:rPr>
          <w:rFonts w:ascii="Arial" w:hAnsi="Arial" w:eastAsia="Arial"/>
          <w:color w:val="242524"/>
          <w:sz w:val="21"/>
        </w:rPr>
        <w:t>Environment matrix</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Authentication and encryption approved</w:t>
      </w:r>
    </w:p>
    <w:p>
      <w:pPr>
        <w:spacing w:after="80" w:line="300" w:lineRule="auto"/>
        <w:numPr>
          <w:ilvl w:val="0"/>
          <w:numId w:val="10"/>
        </w:numPr>
      </w:pPr>
      <w:r>
        <w:rPr>
          <w:rFonts w:ascii="Arial" w:hAnsi="Arial" w:eastAsia="Arial"/>
          <w:color w:val="242524"/>
          <w:sz w:val="21"/>
        </w:rPr>
        <w:t>Secret exchange and storage defined</w:t>
      </w:r>
    </w:p>
    <w:p>
      <w:pPr>
        <w:spacing w:after="80" w:line="300" w:lineRule="auto"/>
        <w:numPr>
          <w:ilvl w:val="0"/>
          <w:numId w:val="10"/>
        </w:numPr>
      </w:pPr>
      <w:r>
        <w:rPr>
          <w:rFonts w:ascii="Arial" w:hAnsi="Arial" w:eastAsia="Arial"/>
          <w:color w:val="242524"/>
          <w:sz w:val="21"/>
        </w:rPr>
        <w:t>No secret is stored in source control or ordinary project notes</w:t>
      </w:r>
    </w:p>
    <w:p>
      <w:pPr>
        <w:pStyle w:val="Heading2"/>
        <w:keepNext/>
        <w:keepLines/>
        <w:spacing w:before="320"/>
      </w:pPr>
      <w:r>
        <w:rPr>
          <w:rFonts w:ascii="Arial" w:hAnsi="Arial" w:eastAsia="Arial"/>
          <w:b/>
          <w:color w:val="B22125"/>
          <w:sz w:val="27"/>
        </w:rPr>
        <w:t>04  Mapping and business rules</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5-15 business days   </w:t>
      </w:r>
      <w:r>
        <w:rPr>
          <w:rFonts w:ascii="Arial" w:hAnsi="Arial" w:eastAsia="Arial"/>
          <w:b/>
          <w:color w:val="FFFFFF"/>
          <w:sz w:val="17"/>
        </w:rPr>
        <w:t xml:space="preserve"> Accountable owner: </w:t>
      </w:r>
      <w:r>
        <w:rPr>
          <w:rFonts w:ascii="Arial" w:hAnsi="Arial" w:eastAsia="Arial"/>
          <w:color w:val="FFFFFF"/>
          <w:sz w:val="17"/>
        </w:rPr>
        <w:t xml:space="preserve">Ultra PRO business owner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Translate partner intent into deterministic data, validation, master-data, and exception behavior.</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Approved scope and guide</w:t>
      </w:r>
    </w:p>
    <w:p>
      <w:pPr>
        <w:spacing w:after="80" w:line="300" w:lineRule="auto"/>
        <w:numPr>
          <w:ilvl w:val="0"/>
          <w:numId w:val="10"/>
        </w:numPr>
      </w:pPr>
      <w:r>
        <w:rPr>
          <w:rFonts w:ascii="Arial" w:hAnsi="Arial" w:eastAsia="Arial"/>
          <w:color w:val="242524"/>
          <w:sz w:val="21"/>
        </w:rPr>
        <w:t>ERPNext/application schema</w:t>
      </w:r>
    </w:p>
    <w:p>
      <w:pPr>
        <w:spacing w:after="80" w:line="300" w:lineRule="auto"/>
        <w:numPr>
          <w:ilvl w:val="0"/>
          <w:numId w:val="10"/>
        </w:numPr>
      </w:pPr>
      <w:r>
        <w:rPr>
          <w:rFonts w:ascii="Arial" w:hAnsi="Arial" w:eastAsia="Arial"/>
          <w:color w:val="242524"/>
          <w:sz w:val="21"/>
        </w:rPr>
        <w:t>Representative sanitized samples</w:t>
      </w:r>
    </w:p>
    <w:p>
      <w:pPr>
        <w:spacing w:after="80" w:line="300" w:lineRule="auto"/>
        <w:numPr>
          <w:ilvl w:val="0"/>
          <w:numId w:val="10"/>
        </w:numPr>
      </w:pPr>
      <w:r>
        <w:rPr>
          <w:rFonts w:ascii="Arial" w:hAnsi="Arial" w:eastAsia="Arial"/>
          <w:color w:val="242524"/>
          <w:sz w:val="21"/>
        </w:rPr>
        <w:t>Code and cross-reference lists</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Map every required and conditional field source-to-target</w:t>
      </w:r>
    </w:p>
    <w:p>
      <w:pPr>
        <w:spacing w:after="80" w:line="300" w:lineRule="auto"/>
        <w:numPr>
          <w:ilvl w:val="0"/>
          <w:numId w:val="10"/>
        </w:numPr>
      </w:pPr>
      <w:r>
        <w:rPr>
          <w:rFonts w:ascii="Arial" w:hAnsi="Arial" w:eastAsia="Arial"/>
          <w:color w:val="242524"/>
          <w:sz w:val="21"/>
        </w:rPr>
        <w:t>Define customer/vendor, item/SKU, location, warehouse, UOM, case-pack, currency, date/time, and status cross-references</w:t>
      </w:r>
    </w:p>
    <w:p>
      <w:pPr>
        <w:spacing w:after="80" w:line="300" w:lineRule="auto"/>
        <w:numPr>
          <w:ilvl w:val="0"/>
          <w:numId w:val="10"/>
        </w:numPr>
      </w:pPr>
      <w:r>
        <w:rPr>
          <w:rFonts w:ascii="Arial" w:hAnsi="Arial" w:eastAsia="Arial"/>
          <w:color w:val="242524"/>
          <w:sz w:val="21"/>
        </w:rPr>
        <w:t>Define defaults, transformations, validation, acknowledgments, duplicates, idempotency, sequencing, and partial-failure behavior</w:t>
      </w:r>
    </w:p>
    <w:p>
      <w:pPr>
        <w:spacing w:after="80" w:line="300" w:lineRule="auto"/>
        <w:numPr>
          <w:ilvl w:val="0"/>
          <w:numId w:val="10"/>
        </w:numPr>
      </w:pPr>
      <w:r>
        <w:rPr>
          <w:rFonts w:ascii="Arial" w:hAnsi="Arial" w:eastAsia="Arial"/>
          <w:color w:val="242524"/>
          <w:sz w:val="21"/>
        </w:rPr>
        <w:t>Assign unknown-value and exception owners</w:t>
      </w:r>
    </w:p>
    <w:p>
      <w:pPr>
        <w:spacing w:after="80" w:line="300" w:lineRule="auto"/>
        <w:numPr>
          <w:ilvl w:val="0"/>
          <w:numId w:val="10"/>
        </w:numPr>
      </w:pPr>
      <w:r>
        <w:rPr>
          <w:rFonts w:ascii="Arial" w:hAnsi="Arial" w:eastAsia="Arial"/>
          <w:color w:val="242524"/>
          <w:sz w:val="21"/>
        </w:rPr>
        <w:t>Write positive, negative, recovery, reconciliation, and performance test scenarios</w:t>
      </w:r>
    </w:p>
    <w:p>
      <w:pPr>
        <w:spacing w:after="80" w:line="300" w:lineRule="auto"/>
        <w:numPr>
          <w:ilvl w:val="0"/>
          <w:numId w:val="10"/>
        </w:numPr>
      </w:pPr>
      <w:r>
        <w:rPr>
          <w:rFonts w:ascii="Arial" w:hAnsi="Arial" w:eastAsia="Arial"/>
          <w:color w:val="242524"/>
          <w:sz w:val="21"/>
        </w:rPr>
        <w:t>Confirm item/catalog flow required before order processing</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Versioned mapping specification</w:t>
      </w:r>
    </w:p>
    <w:p>
      <w:pPr>
        <w:spacing w:after="80" w:line="300" w:lineRule="auto"/>
        <w:numPr>
          <w:ilvl w:val="0"/>
          <w:numId w:val="10"/>
        </w:numPr>
      </w:pPr>
      <w:r>
        <w:rPr>
          <w:rFonts w:ascii="Arial" w:hAnsi="Arial" w:eastAsia="Arial"/>
          <w:color w:val="242524"/>
          <w:sz w:val="21"/>
        </w:rPr>
        <w:t>Master-data plan</w:t>
      </w:r>
    </w:p>
    <w:p>
      <w:pPr>
        <w:spacing w:after="80" w:line="300" w:lineRule="auto"/>
        <w:numPr>
          <w:ilvl w:val="0"/>
          <w:numId w:val="10"/>
        </w:numPr>
      </w:pPr>
      <w:r>
        <w:rPr>
          <w:rFonts w:ascii="Arial" w:hAnsi="Arial" w:eastAsia="Arial"/>
          <w:color w:val="242524"/>
          <w:sz w:val="21"/>
        </w:rPr>
        <w:t>Exception matrix</w:t>
      </w:r>
    </w:p>
    <w:p>
      <w:pPr>
        <w:spacing w:after="80" w:line="300" w:lineRule="auto"/>
        <w:numPr>
          <w:ilvl w:val="0"/>
          <w:numId w:val="10"/>
        </w:numPr>
      </w:pPr>
      <w:r>
        <w:rPr>
          <w:rFonts w:ascii="Arial" w:hAnsi="Arial" w:eastAsia="Arial"/>
          <w:color w:val="242524"/>
          <w:sz w:val="21"/>
        </w:rPr>
        <w:t>Test scenario catalog</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Business and application owners approve rules</w:t>
      </w:r>
    </w:p>
    <w:p>
      <w:pPr>
        <w:spacing w:after="80" w:line="300" w:lineRule="auto"/>
        <w:numPr>
          <w:ilvl w:val="0"/>
          <w:numId w:val="10"/>
        </w:numPr>
      </w:pPr>
      <w:r>
        <w:rPr>
          <w:rFonts w:ascii="Arial" w:hAnsi="Arial" w:eastAsia="Arial"/>
          <w:color w:val="242524"/>
          <w:sz w:val="21"/>
        </w:rPr>
        <w:t>All unknown values have an agreed stop/hold/reject behavior</w:t>
      </w:r>
    </w:p>
    <w:p>
      <w:pPr>
        <w:spacing w:after="80" w:line="300" w:lineRule="auto"/>
        <w:numPr>
          <w:ilvl w:val="0"/>
          <w:numId w:val="10"/>
        </w:numPr>
      </w:pPr>
      <w:r>
        <w:rPr>
          <w:rFonts w:ascii="Arial" w:hAnsi="Arial" w:eastAsia="Arial"/>
          <w:color w:val="242524"/>
          <w:sz w:val="21"/>
        </w:rPr>
        <w:t>Test cases prove the acceptance criteria</w:t>
      </w:r>
    </w:p>
    <w:p>
      <w:pPr>
        <w:pStyle w:val="Heading2"/>
        <w:keepNext/>
        <w:keepLines/>
        <w:spacing w:before="320"/>
      </w:pPr>
      <w:r>
        <w:rPr>
          <w:rFonts w:ascii="Arial" w:hAnsi="Arial" w:eastAsia="Arial"/>
          <w:b/>
          <w:color w:val="B22125"/>
          <w:sz w:val="27"/>
        </w:rPr>
        <w:t>05  Configuration and development</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5-20 business days   </w:t>
      </w:r>
      <w:r>
        <w:rPr>
          <w:rFonts w:ascii="Arial" w:hAnsi="Arial" w:eastAsia="Arial"/>
          <w:b/>
          <w:color w:val="FFFFFF"/>
          <w:sz w:val="17"/>
        </w:rPr>
        <w:t xml:space="preserve"> Accountable owner: </w:t>
      </w:r>
      <w:r>
        <w:rPr>
          <w:rFonts w:ascii="Arial" w:hAnsi="Arial" w:eastAsia="Arial"/>
          <w:color w:val="FFFFFF"/>
          <w:sz w:val="17"/>
        </w:rPr>
        <w:t xml:space="preserve">Ultra PRO integration owner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Implement the approved design in non-production with observability and recovery built in.</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Approved map, connectivity design, master-data plan, and test cases</w:t>
      </w:r>
    </w:p>
    <w:p>
      <w:pPr>
        <w:spacing w:after="80" w:line="300" w:lineRule="auto"/>
        <w:numPr>
          <w:ilvl w:val="0"/>
          <w:numId w:val="10"/>
        </w:numPr>
      </w:pPr>
      <w:r>
        <w:rPr>
          <w:rFonts w:ascii="Arial" w:hAnsi="Arial" w:eastAsia="Arial"/>
          <w:color w:val="242524"/>
          <w:sz w:val="21"/>
        </w:rPr>
        <w:t>Non-production endpoints and credentials</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Configure Cleo endpoints, connectors, monitors/triggers, maps, routes, and alerts as applicable</w:t>
      </w:r>
    </w:p>
    <w:p>
      <w:pPr>
        <w:spacing w:after="80" w:line="300" w:lineRule="auto"/>
        <w:numPr>
          <w:ilvl w:val="0"/>
          <w:numId w:val="10"/>
        </w:numPr>
      </w:pPr>
      <w:r>
        <w:rPr>
          <w:rFonts w:ascii="Arial" w:hAnsi="Arial" w:eastAsia="Arial"/>
          <w:color w:val="242524"/>
          <w:sz w:val="21"/>
        </w:rPr>
        <w:t>Implement ERPNext/API operations with validation, status, and error handling</w:t>
      </w:r>
    </w:p>
    <w:p>
      <w:pPr>
        <w:spacing w:after="80" w:line="300" w:lineRule="auto"/>
        <w:numPr>
          <w:ilvl w:val="0"/>
          <w:numId w:val="10"/>
        </w:numPr>
      </w:pPr>
      <w:r>
        <w:rPr>
          <w:rFonts w:ascii="Arial" w:hAnsi="Arial" w:eastAsia="Arial"/>
          <w:color w:val="242524"/>
          <w:sz w:val="21"/>
        </w:rPr>
        <w:t>Implement acknowledgment, retry, idempotency, archive/quarantine, and correlation</w:t>
      </w:r>
    </w:p>
    <w:p>
      <w:pPr>
        <w:spacing w:after="80" w:line="300" w:lineRule="auto"/>
        <w:numPr>
          <w:ilvl w:val="0"/>
          <w:numId w:val="10"/>
        </w:numPr>
      </w:pPr>
      <w:r>
        <w:rPr>
          <w:rFonts w:ascii="Arial" w:hAnsi="Arial" w:eastAsia="Arial"/>
          <w:color w:val="242524"/>
          <w:sz w:val="21"/>
        </w:rPr>
        <w:t>Create monitoring views and actionable notifications</w:t>
      </w:r>
    </w:p>
    <w:p>
      <w:pPr>
        <w:spacing w:after="80" w:line="300" w:lineRule="auto"/>
        <w:numPr>
          <w:ilvl w:val="0"/>
          <w:numId w:val="10"/>
        </w:numPr>
      </w:pPr>
      <w:r>
        <w:rPr>
          <w:rFonts w:ascii="Arial" w:hAnsi="Arial" w:eastAsia="Arial"/>
          <w:color w:val="242524"/>
          <w:sz w:val="21"/>
        </w:rPr>
        <w:t>Draft runbook, recovery, deployment, and rollback procedures</w:t>
      </w:r>
    </w:p>
    <w:p>
      <w:pPr>
        <w:spacing w:after="80" w:line="300" w:lineRule="auto"/>
        <w:numPr>
          <w:ilvl w:val="0"/>
          <w:numId w:val="10"/>
        </w:numPr>
      </w:pPr>
      <w:r>
        <w:rPr>
          <w:rFonts w:ascii="Arial" w:hAnsi="Arial" w:eastAsia="Arial"/>
          <w:color w:val="242524"/>
          <w:sz w:val="21"/>
        </w:rPr>
        <w:t>Peer review maps, code, configuration, and secrets handling</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Deployable non-production solution</w:t>
      </w:r>
    </w:p>
    <w:p>
      <w:pPr>
        <w:spacing w:after="80" w:line="300" w:lineRule="auto"/>
        <w:numPr>
          <w:ilvl w:val="0"/>
          <w:numId w:val="10"/>
        </w:numPr>
      </w:pPr>
      <w:r>
        <w:rPr>
          <w:rFonts w:ascii="Arial" w:hAnsi="Arial" w:eastAsia="Arial"/>
          <w:color w:val="242524"/>
          <w:sz w:val="21"/>
        </w:rPr>
        <w:t>Peer-review evidence</w:t>
      </w:r>
    </w:p>
    <w:p>
      <w:pPr>
        <w:spacing w:after="80" w:line="300" w:lineRule="auto"/>
        <w:numPr>
          <w:ilvl w:val="0"/>
          <w:numId w:val="10"/>
        </w:numPr>
      </w:pPr>
      <w:r>
        <w:rPr>
          <w:rFonts w:ascii="Arial" w:hAnsi="Arial" w:eastAsia="Arial"/>
          <w:color w:val="242524"/>
          <w:sz w:val="21"/>
        </w:rPr>
        <w:t>Runbook and deployment package draft</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Build matches approved design</w:t>
      </w:r>
    </w:p>
    <w:p>
      <w:pPr>
        <w:spacing w:after="80" w:line="300" w:lineRule="auto"/>
        <w:numPr>
          <w:ilvl w:val="0"/>
          <w:numId w:val="10"/>
        </w:numPr>
      </w:pPr>
      <w:r>
        <w:rPr>
          <w:rFonts w:ascii="Arial" w:hAnsi="Arial" w:eastAsia="Arial"/>
          <w:color w:val="242524"/>
          <w:sz w:val="21"/>
        </w:rPr>
        <w:t>Observability and recovery are testable</w:t>
      </w:r>
    </w:p>
    <w:p>
      <w:pPr>
        <w:spacing w:after="80" w:line="300" w:lineRule="auto"/>
        <w:numPr>
          <w:ilvl w:val="0"/>
          <w:numId w:val="10"/>
        </w:numPr>
      </w:pPr>
      <w:r>
        <w:rPr>
          <w:rFonts w:ascii="Arial" w:hAnsi="Arial" w:eastAsia="Arial"/>
          <w:color w:val="242524"/>
          <w:sz w:val="21"/>
        </w:rPr>
        <w:t>No credentials or secrets are embedded in source or static artifacts</w:t>
      </w:r>
    </w:p>
    <w:p>
      <w:pPr>
        <w:pStyle w:val="Heading2"/>
        <w:keepNext/>
        <w:keepLines/>
        <w:spacing w:before="320"/>
      </w:pPr>
      <w:r>
        <w:rPr>
          <w:rFonts w:ascii="Arial" w:hAnsi="Arial" w:eastAsia="Arial"/>
          <w:b/>
          <w:color w:val="B22125"/>
          <w:sz w:val="27"/>
        </w:rPr>
        <w:t>06  Connectivity and functional testing</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5-10 business days   </w:t>
      </w:r>
      <w:r>
        <w:rPr>
          <w:rFonts w:ascii="Arial" w:hAnsi="Arial" w:eastAsia="Arial"/>
          <w:b/>
          <w:color w:val="FFFFFF"/>
          <w:sz w:val="17"/>
        </w:rPr>
        <w:t xml:space="preserve"> Accountable owner: </w:t>
      </w:r>
      <w:r>
        <w:rPr>
          <w:rFonts w:ascii="Arial" w:hAnsi="Arial" w:eastAsia="Arial"/>
          <w:color w:val="FFFFFF"/>
          <w:sz w:val="17"/>
        </w:rPr>
        <w:t xml:space="preserve">Ultra PRO integration owner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Prove each component and end-to-end technical path before partner certification and business acceptance.</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Non-production build</w:t>
      </w:r>
    </w:p>
    <w:p>
      <w:pPr>
        <w:spacing w:after="80" w:line="300" w:lineRule="auto"/>
        <w:numPr>
          <w:ilvl w:val="0"/>
          <w:numId w:val="10"/>
        </w:numPr>
      </w:pPr>
      <w:r>
        <w:rPr>
          <w:rFonts w:ascii="Arial" w:hAnsi="Arial" w:eastAsia="Arial"/>
          <w:color w:val="242524"/>
          <w:sz w:val="21"/>
        </w:rPr>
        <w:t>Test scenarios and sanitized test data</w:t>
      </w:r>
    </w:p>
    <w:p>
      <w:pPr>
        <w:spacing w:after="80" w:line="300" w:lineRule="auto"/>
        <w:numPr>
          <w:ilvl w:val="0"/>
          <w:numId w:val="10"/>
        </w:numPr>
      </w:pPr>
      <w:r>
        <w:rPr>
          <w:rFonts w:ascii="Arial" w:hAnsi="Arial" w:eastAsia="Arial"/>
          <w:color w:val="242524"/>
          <w:sz w:val="21"/>
        </w:rPr>
        <w:t>Partner test endpoint</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Prove DNS/network, authentication, certificates/keys, folders, and permissions</w:t>
      </w:r>
    </w:p>
    <w:p>
      <w:pPr>
        <w:spacing w:after="80" w:line="300" w:lineRule="auto"/>
        <w:numPr>
          <w:ilvl w:val="0"/>
          <w:numId w:val="10"/>
        </w:numPr>
      </w:pPr>
      <w:r>
        <w:rPr>
          <w:rFonts w:ascii="Arial" w:hAnsi="Arial" w:eastAsia="Arial"/>
          <w:color w:val="242524"/>
          <w:sz w:val="21"/>
        </w:rPr>
        <w:t>Test valid transactions end to end through Cleo and ERPNext or the approved target</w:t>
      </w:r>
    </w:p>
    <w:p>
      <w:pPr>
        <w:spacing w:after="80" w:line="300" w:lineRule="auto"/>
        <w:numPr>
          <w:ilvl w:val="0"/>
          <w:numId w:val="10"/>
        </w:numPr>
      </w:pPr>
      <w:r>
        <w:rPr>
          <w:rFonts w:ascii="Arial" w:hAnsi="Arial" w:eastAsia="Arial"/>
          <w:color w:val="242524"/>
          <w:sz w:val="21"/>
        </w:rPr>
        <w:t>Test syntax/schema failures, required-field failures, unknown items, duplicate messages, out-of-order events, timeouts, partner/API errors, and replay</w:t>
      </w:r>
    </w:p>
    <w:p>
      <w:pPr>
        <w:spacing w:after="80" w:line="300" w:lineRule="auto"/>
        <w:numPr>
          <w:ilvl w:val="0"/>
          <w:numId w:val="10"/>
        </w:numPr>
      </w:pPr>
      <w:r>
        <w:rPr>
          <w:rFonts w:ascii="Arial" w:hAnsi="Arial" w:eastAsia="Arial"/>
          <w:color w:val="242524"/>
          <w:sz w:val="21"/>
        </w:rPr>
        <w:t>Validate acknowledgments, alerts, correlation, archive, quarantine, retry, and controlled reprocessing</w:t>
      </w:r>
    </w:p>
    <w:p>
      <w:pPr>
        <w:spacing w:after="80" w:line="300" w:lineRule="auto"/>
        <w:numPr>
          <w:ilvl w:val="0"/>
          <w:numId w:val="10"/>
        </w:numPr>
      </w:pPr>
      <w:r>
        <w:rPr>
          <w:rFonts w:ascii="Arial" w:hAnsi="Arial" w:eastAsia="Arial"/>
          <w:color w:val="242524"/>
          <w:sz w:val="21"/>
        </w:rPr>
        <w:t>Reconcile input, output, acknowledgment, and business-record counts</w:t>
      </w:r>
    </w:p>
    <w:p>
      <w:pPr>
        <w:spacing w:after="80" w:line="300" w:lineRule="auto"/>
        <w:numPr>
          <w:ilvl w:val="0"/>
          <w:numId w:val="10"/>
        </w:numPr>
      </w:pPr>
      <w:r>
        <w:rPr>
          <w:rFonts w:ascii="Arial" w:hAnsi="Arial" w:eastAsia="Arial"/>
          <w:color w:val="242524"/>
          <w:sz w:val="21"/>
        </w:rPr>
        <w:t>Track defects to closure or approved risk</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Executed technical test record</w:t>
      </w:r>
    </w:p>
    <w:p>
      <w:pPr>
        <w:spacing w:after="80" w:line="300" w:lineRule="auto"/>
        <w:numPr>
          <w:ilvl w:val="0"/>
          <w:numId w:val="10"/>
        </w:numPr>
      </w:pPr>
      <w:r>
        <w:rPr>
          <w:rFonts w:ascii="Arial" w:hAnsi="Arial" w:eastAsia="Arial"/>
          <w:color w:val="242524"/>
          <w:sz w:val="21"/>
        </w:rPr>
        <w:t>Defect and evidence log</w:t>
      </w:r>
    </w:p>
    <w:p>
      <w:pPr>
        <w:spacing w:after="80" w:line="300" w:lineRule="auto"/>
        <w:numPr>
          <w:ilvl w:val="0"/>
          <w:numId w:val="10"/>
        </w:numPr>
      </w:pPr>
      <w:r>
        <w:rPr>
          <w:rFonts w:ascii="Arial" w:hAnsi="Arial" w:eastAsia="Arial"/>
          <w:color w:val="242524"/>
          <w:sz w:val="21"/>
        </w:rPr>
        <w:t>Performance/volume observation</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Critical and high defects closed</w:t>
      </w:r>
    </w:p>
    <w:p>
      <w:pPr>
        <w:spacing w:after="80" w:line="300" w:lineRule="auto"/>
        <w:numPr>
          <w:ilvl w:val="0"/>
          <w:numId w:val="10"/>
        </w:numPr>
      </w:pPr>
      <w:r>
        <w:rPr>
          <w:rFonts w:ascii="Arial" w:hAnsi="Arial" w:eastAsia="Arial"/>
          <w:color w:val="242524"/>
          <w:sz w:val="21"/>
        </w:rPr>
        <w:t>No unexplained count or status variance</w:t>
      </w:r>
    </w:p>
    <w:p>
      <w:pPr>
        <w:spacing w:after="80" w:line="300" w:lineRule="auto"/>
        <w:numPr>
          <w:ilvl w:val="0"/>
          <w:numId w:val="10"/>
        </w:numPr>
      </w:pPr>
      <w:r>
        <w:rPr>
          <w:rFonts w:ascii="Arial" w:hAnsi="Arial" w:eastAsia="Arial"/>
          <w:color w:val="242524"/>
          <w:sz w:val="21"/>
        </w:rPr>
        <w:t>Negative and recovery tests pass</w:t>
      </w:r>
    </w:p>
    <w:p>
      <w:pPr>
        <w:spacing w:after="80" w:line="300" w:lineRule="auto"/>
        <w:numPr>
          <w:ilvl w:val="0"/>
          <w:numId w:val="10"/>
        </w:numPr>
      </w:pPr>
      <w:r>
        <w:rPr>
          <w:rFonts w:ascii="Arial" w:hAnsi="Arial" w:eastAsia="Arial"/>
          <w:color w:val="242524"/>
          <w:sz w:val="21"/>
        </w:rPr>
        <w:t>Partner certification entry criteria met</w:t>
      </w:r>
    </w:p>
    <w:p>
      <w:pPr>
        <w:pStyle w:val="Heading2"/>
        <w:keepNext/>
        <w:keepLines/>
        <w:spacing w:before="320"/>
      </w:pPr>
      <w:r>
        <w:rPr>
          <w:rFonts w:ascii="Arial" w:hAnsi="Arial" w:eastAsia="Arial"/>
          <w:b/>
          <w:color w:val="B22125"/>
          <w:sz w:val="27"/>
        </w:rPr>
        <w:t>07  Partner certification</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5-20+ business days   </w:t>
      </w:r>
      <w:r>
        <w:rPr>
          <w:rFonts w:ascii="Arial" w:hAnsi="Arial" w:eastAsia="Arial"/>
          <w:b/>
          <w:color w:val="FFFFFF"/>
          <w:sz w:val="17"/>
        </w:rPr>
        <w:t xml:space="preserve"> Accountable owner: </w:t>
      </w:r>
      <w:r>
        <w:rPr>
          <w:rFonts w:ascii="Arial" w:hAnsi="Arial" w:eastAsia="Arial"/>
          <w:color w:val="FFFFFF"/>
          <w:sz w:val="17"/>
        </w:rPr>
        <w:t xml:space="preserve">Partner business owner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Complete the partner's formal validation program and obtain approval to proceed.</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Technical test completion</w:t>
      </w:r>
    </w:p>
    <w:p>
      <w:pPr>
        <w:spacing w:after="80" w:line="300" w:lineRule="auto"/>
        <w:numPr>
          <w:ilvl w:val="0"/>
          <w:numId w:val="10"/>
        </w:numPr>
      </w:pPr>
      <w:r>
        <w:rPr>
          <w:rFonts w:ascii="Arial" w:hAnsi="Arial" w:eastAsia="Arial"/>
          <w:color w:val="242524"/>
          <w:sz w:val="21"/>
        </w:rPr>
        <w:t>Partner certification plan/portal</w:t>
      </w:r>
    </w:p>
    <w:p>
      <w:pPr>
        <w:spacing w:after="80" w:line="300" w:lineRule="auto"/>
        <w:numPr>
          <w:ilvl w:val="0"/>
          <w:numId w:val="10"/>
        </w:numPr>
      </w:pPr>
      <w:r>
        <w:rPr>
          <w:rFonts w:ascii="Arial" w:hAnsi="Arial" w:eastAsia="Arial"/>
          <w:color w:val="242524"/>
          <w:sz w:val="21"/>
        </w:rPr>
        <w:t>Required test identifiers and cases</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Schedule the partner test window</w:t>
      </w:r>
    </w:p>
    <w:p>
      <w:pPr>
        <w:spacing w:after="80" w:line="300" w:lineRule="auto"/>
        <w:numPr>
          <w:ilvl w:val="0"/>
          <w:numId w:val="10"/>
        </w:numPr>
      </w:pPr>
      <w:r>
        <w:rPr>
          <w:rFonts w:ascii="Arial" w:hAnsi="Arial" w:eastAsia="Arial"/>
          <w:color w:val="242524"/>
          <w:sz w:val="21"/>
        </w:rPr>
        <w:t>Execute cases exactly as required and preserve portal/report evidence</w:t>
      </w:r>
    </w:p>
    <w:p>
      <w:pPr>
        <w:spacing w:after="80" w:line="300" w:lineRule="auto"/>
        <w:numPr>
          <w:ilvl w:val="0"/>
          <w:numId w:val="10"/>
        </w:numPr>
      </w:pPr>
      <w:r>
        <w:rPr>
          <w:rFonts w:ascii="Arial" w:hAnsi="Arial" w:eastAsia="Arial"/>
          <w:color w:val="242524"/>
          <w:sz w:val="21"/>
        </w:rPr>
        <w:t>Resolve mapping, compliance, envelope, timing, and business-rule failures</w:t>
      </w:r>
    </w:p>
    <w:p>
      <w:pPr>
        <w:spacing w:after="80" w:line="300" w:lineRule="auto"/>
        <w:numPr>
          <w:ilvl w:val="0"/>
          <w:numId w:val="10"/>
        </w:numPr>
      </w:pPr>
      <w:r>
        <w:rPr>
          <w:rFonts w:ascii="Arial" w:hAnsi="Arial" w:eastAsia="Arial"/>
          <w:color w:val="242524"/>
          <w:sz w:val="21"/>
        </w:rPr>
        <w:t>Repeat only controlled cases and reconcile results</w:t>
      </w:r>
    </w:p>
    <w:p>
      <w:pPr>
        <w:spacing w:after="80" w:line="300" w:lineRule="auto"/>
        <w:numPr>
          <w:ilvl w:val="0"/>
          <w:numId w:val="10"/>
        </w:numPr>
      </w:pPr>
      <w:r>
        <w:rPr>
          <w:rFonts w:ascii="Arial" w:hAnsi="Arial" w:eastAsia="Arial"/>
          <w:color w:val="242524"/>
          <w:sz w:val="21"/>
        </w:rPr>
        <w:t>Obtain certification, waiver, or documented equivalent approval</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Partner certification evidence</w:t>
      </w:r>
    </w:p>
    <w:p>
      <w:pPr>
        <w:spacing w:after="80" w:line="300" w:lineRule="auto"/>
        <w:numPr>
          <w:ilvl w:val="0"/>
          <w:numId w:val="10"/>
        </w:numPr>
      </w:pPr>
      <w:r>
        <w:rPr>
          <w:rFonts w:ascii="Arial" w:hAnsi="Arial" w:eastAsia="Arial"/>
          <w:color w:val="242524"/>
          <w:sz w:val="21"/>
        </w:rPr>
        <w:t>Open exception/waiver record</w:t>
      </w:r>
    </w:p>
    <w:p>
      <w:pPr>
        <w:spacing w:after="80" w:line="300" w:lineRule="auto"/>
        <w:numPr>
          <w:ilvl w:val="0"/>
          <w:numId w:val="10"/>
        </w:numPr>
      </w:pPr>
      <w:r>
        <w:rPr>
          <w:rFonts w:ascii="Arial" w:hAnsi="Arial" w:eastAsia="Arial"/>
          <w:color w:val="242524"/>
          <w:sz w:val="21"/>
        </w:rPr>
        <w:t>Production prerequisites from partner</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Required cases accepted</w:t>
      </w:r>
    </w:p>
    <w:p>
      <w:pPr>
        <w:spacing w:after="80" w:line="300" w:lineRule="auto"/>
        <w:numPr>
          <w:ilvl w:val="0"/>
          <w:numId w:val="10"/>
        </w:numPr>
      </w:pPr>
      <w:r>
        <w:rPr>
          <w:rFonts w:ascii="Arial" w:hAnsi="Arial" w:eastAsia="Arial"/>
          <w:color w:val="242524"/>
          <w:sz w:val="21"/>
        </w:rPr>
        <w:t>Partner authorization recorded</w:t>
      </w:r>
    </w:p>
    <w:p>
      <w:pPr>
        <w:spacing w:after="80" w:line="300" w:lineRule="auto"/>
        <w:numPr>
          <w:ilvl w:val="0"/>
          <w:numId w:val="10"/>
        </w:numPr>
      </w:pPr>
      <w:r>
        <w:rPr>
          <w:rFonts w:ascii="Arial" w:hAnsi="Arial" w:eastAsia="Arial"/>
          <w:color w:val="242524"/>
          <w:sz w:val="21"/>
        </w:rPr>
        <w:t>Production IDs/endpoints and switch procedure confirmed</w:t>
      </w:r>
    </w:p>
    <w:p>
      <w:pPr>
        <w:pStyle w:val="Heading2"/>
        <w:keepNext/>
        <w:keepLines/>
        <w:spacing w:before="320"/>
      </w:pPr>
      <w:r>
        <w:rPr>
          <w:rFonts w:ascii="Arial" w:hAnsi="Arial" w:eastAsia="Arial"/>
          <w:b/>
          <w:color w:val="B22125"/>
          <w:sz w:val="27"/>
        </w:rPr>
        <w:t>08  Business user acceptance testing</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3-10 business days   </w:t>
      </w:r>
      <w:r>
        <w:rPr>
          <w:rFonts w:ascii="Arial" w:hAnsi="Arial" w:eastAsia="Arial"/>
          <w:b/>
          <w:color w:val="FFFFFF"/>
          <w:sz w:val="17"/>
        </w:rPr>
        <w:t xml:space="preserve"> Accountable owner: </w:t>
      </w:r>
      <w:r>
        <w:rPr>
          <w:rFonts w:ascii="Arial" w:hAnsi="Arial" w:eastAsia="Arial"/>
          <w:color w:val="FFFFFF"/>
          <w:sz w:val="17"/>
        </w:rPr>
        <w:t xml:space="preserve">Ultra PRO business owner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Prove that the integration produces correct business outcomes and supportable exceptions.</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Technical and certification evidence</w:t>
      </w:r>
    </w:p>
    <w:p>
      <w:pPr>
        <w:spacing w:after="80" w:line="300" w:lineRule="auto"/>
        <w:numPr>
          <w:ilvl w:val="0"/>
          <w:numId w:val="10"/>
        </w:numPr>
      </w:pPr>
      <w:r>
        <w:rPr>
          <w:rFonts w:ascii="Arial" w:hAnsi="Arial" w:eastAsia="Arial"/>
          <w:color w:val="242524"/>
          <w:sz w:val="21"/>
        </w:rPr>
        <w:t>Business acceptance criteria</w:t>
      </w:r>
    </w:p>
    <w:p>
      <w:pPr>
        <w:spacing w:after="80" w:line="300" w:lineRule="auto"/>
        <w:numPr>
          <w:ilvl w:val="0"/>
          <w:numId w:val="10"/>
        </w:numPr>
      </w:pPr>
      <w:r>
        <w:rPr>
          <w:rFonts w:ascii="Arial" w:hAnsi="Arial" w:eastAsia="Arial"/>
          <w:color w:val="242524"/>
          <w:sz w:val="21"/>
        </w:rPr>
        <w:t>Named business testers</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Execute end-to-end scenarios in business terms</w:t>
      </w:r>
    </w:p>
    <w:p>
      <w:pPr>
        <w:spacing w:after="80" w:line="300" w:lineRule="auto"/>
        <w:numPr>
          <w:ilvl w:val="0"/>
          <w:numId w:val="10"/>
        </w:numPr>
      </w:pPr>
      <w:r>
        <w:rPr>
          <w:rFonts w:ascii="Arial" w:hAnsi="Arial" w:eastAsia="Arial"/>
          <w:color w:val="242524"/>
          <w:sz w:val="21"/>
        </w:rPr>
        <w:t>Validate ERPNext documents, statuses, customer PO references, items, UOM, pricing, warehouse, inventory, shipment, invoice, and finance outcomes as applicable</w:t>
      </w:r>
    </w:p>
    <w:p>
      <w:pPr>
        <w:spacing w:after="80" w:line="300" w:lineRule="auto"/>
        <w:numPr>
          <w:ilvl w:val="0"/>
          <w:numId w:val="10"/>
        </w:numPr>
      </w:pPr>
      <w:r>
        <w:rPr>
          <w:rFonts w:ascii="Arial" w:hAnsi="Arial" w:eastAsia="Arial"/>
          <w:color w:val="242524"/>
          <w:sz w:val="21"/>
        </w:rPr>
        <w:t>Validate exception queues, aging, correction, reprocessing, and reconciliation</w:t>
      </w:r>
    </w:p>
    <w:p>
      <w:pPr>
        <w:spacing w:after="80" w:line="300" w:lineRule="auto"/>
        <w:numPr>
          <w:ilvl w:val="0"/>
          <w:numId w:val="10"/>
        </w:numPr>
      </w:pPr>
      <w:r>
        <w:rPr>
          <w:rFonts w:ascii="Arial" w:hAnsi="Arial" w:eastAsia="Arial"/>
          <w:color w:val="242524"/>
          <w:sz w:val="21"/>
        </w:rPr>
        <w:t>Confirm the manual steps retired at go-live and the fallback retained</w:t>
      </w:r>
    </w:p>
    <w:p>
      <w:pPr>
        <w:spacing w:after="80" w:line="300" w:lineRule="auto"/>
        <w:numPr>
          <w:ilvl w:val="0"/>
          <w:numId w:val="10"/>
        </w:numPr>
      </w:pPr>
      <w:r>
        <w:rPr>
          <w:rFonts w:ascii="Arial" w:hAnsi="Arial" w:eastAsia="Arial"/>
          <w:color w:val="242524"/>
          <w:sz w:val="21"/>
        </w:rPr>
        <w:t>Record evidence, defects, training needs, and residual risks</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Signed UAT record</w:t>
      </w:r>
    </w:p>
    <w:p>
      <w:pPr>
        <w:spacing w:after="80" w:line="300" w:lineRule="auto"/>
        <w:numPr>
          <w:ilvl w:val="0"/>
          <w:numId w:val="10"/>
        </w:numPr>
      </w:pPr>
      <w:r>
        <w:rPr>
          <w:rFonts w:ascii="Arial" w:hAnsi="Arial" w:eastAsia="Arial"/>
          <w:color w:val="242524"/>
          <w:sz w:val="21"/>
        </w:rPr>
        <w:t>Updated runbook/training</w:t>
      </w:r>
    </w:p>
    <w:p>
      <w:pPr>
        <w:spacing w:after="80" w:line="300" w:lineRule="auto"/>
        <w:numPr>
          <w:ilvl w:val="0"/>
          <w:numId w:val="10"/>
        </w:numPr>
      </w:pPr>
      <w:r>
        <w:rPr>
          <w:rFonts w:ascii="Arial" w:hAnsi="Arial" w:eastAsia="Arial"/>
          <w:color w:val="242524"/>
          <w:sz w:val="21"/>
        </w:rPr>
        <w:t>Residual-risk disposition</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Business owner approves</w:t>
      </w:r>
    </w:p>
    <w:p>
      <w:pPr>
        <w:spacing w:after="80" w:line="300" w:lineRule="auto"/>
        <w:numPr>
          <w:ilvl w:val="0"/>
          <w:numId w:val="10"/>
        </w:numPr>
      </w:pPr>
      <w:r>
        <w:rPr>
          <w:rFonts w:ascii="Arial" w:hAnsi="Arial" w:eastAsia="Arial"/>
          <w:color w:val="242524"/>
          <w:sz w:val="21"/>
        </w:rPr>
        <w:t>Support and exception owners demonstrate the process</w:t>
      </w:r>
    </w:p>
    <w:p>
      <w:pPr>
        <w:spacing w:after="80" w:line="300" w:lineRule="auto"/>
        <w:numPr>
          <w:ilvl w:val="0"/>
          <w:numId w:val="10"/>
        </w:numPr>
      </w:pPr>
      <w:r>
        <w:rPr>
          <w:rFonts w:ascii="Arial" w:hAnsi="Arial" w:eastAsia="Arial"/>
          <w:color w:val="242524"/>
          <w:sz w:val="21"/>
        </w:rPr>
        <w:t>Critical/high defects are closed</w:t>
      </w:r>
    </w:p>
    <w:p>
      <w:pPr>
        <w:spacing w:after="80" w:line="300" w:lineRule="auto"/>
        <w:numPr>
          <w:ilvl w:val="0"/>
          <w:numId w:val="10"/>
        </w:numPr>
      </w:pPr>
      <w:r>
        <w:rPr>
          <w:rFonts w:ascii="Arial" w:hAnsi="Arial" w:eastAsia="Arial"/>
          <w:color w:val="242524"/>
          <w:sz w:val="21"/>
        </w:rPr>
        <w:t>Manual/fallback responsibilities are explicit</w:t>
      </w:r>
    </w:p>
    <w:p>
      <w:pPr>
        <w:pStyle w:val="Heading2"/>
        <w:keepNext/>
        <w:keepLines/>
        <w:spacing w:before="320"/>
      </w:pPr>
      <w:r>
        <w:rPr>
          <w:rFonts w:ascii="Arial" w:hAnsi="Arial" w:eastAsia="Arial"/>
          <w:b/>
          <w:color w:val="B22125"/>
          <w:sz w:val="27"/>
        </w:rPr>
        <w:t>09  Cutover readiness</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2-5 business days   </w:t>
      </w:r>
      <w:r>
        <w:rPr>
          <w:rFonts w:ascii="Arial" w:hAnsi="Arial" w:eastAsia="Arial"/>
          <w:b/>
          <w:color w:val="FFFFFF"/>
          <w:sz w:val="17"/>
        </w:rPr>
        <w:t xml:space="preserve"> Accountable owner: </w:t>
      </w:r>
      <w:r>
        <w:rPr>
          <w:rFonts w:ascii="Arial" w:hAnsi="Arial" w:eastAsia="Arial"/>
          <w:color w:val="FFFFFF"/>
          <w:sz w:val="17"/>
        </w:rPr>
        <w:t xml:space="preserve">Change / release approver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Confirm people, production configuration, data, monitoring, communications, rollback, and hypercare are ready.</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UAT approval</w:t>
      </w:r>
    </w:p>
    <w:p>
      <w:pPr>
        <w:spacing w:after="80" w:line="300" w:lineRule="auto"/>
        <w:numPr>
          <w:ilvl w:val="0"/>
          <w:numId w:val="10"/>
        </w:numPr>
      </w:pPr>
      <w:r>
        <w:rPr>
          <w:rFonts w:ascii="Arial" w:hAnsi="Arial" w:eastAsia="Arial"/>
          <w:color w:val="242524"/>
          <w:sz w:val="21"/>
        </w:rPr>
        <w:t>Partner production approval</w:t>
      </w:r>
    </w:p>
    <w:p>
      <w:pPr>
        <w:spacing w:after="80" w:line="300" w:lineRule="auto"/>
        <w:numPr>
          <w:ilvl w:val="0"/>
          <w:numId w:val="10"/>
        </w:numPr>
      </w:pPr>
      <w:r>
        <w:rPr>
          <w:rFonts w:ascii="Arial" w:hAnsi="Arial" w:eastAsia="Arial"/>
          <w:color w:val="242524"/>
          <w:sz w:val="21"/>
        </w:rPr>
        <w:t>Production endpoints and secrets</w:t>
      </w:r>
    </w:p>
    <w:p>
      <w:pPr>
        <w:spacing w:after="80" w:line="300" w:lineRule="auto"/>
        <w:numPr>
          <w:ilvl w:val="0"/>
          <w:numId w:val="10"/>
        </w:numPr>
      </w:pPr>
      <w:r>
        <w:rPr>
          <w:rFonts w:ascii="Arial" w:hAnsi="Arial" w:eastAsia="Arial"/>
          <w:color w:val="242524"/>
          <w:sz w:val="21"/>
        </w:rPr>
        <w:t>Runbook and deployment package</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Complete production credential/certificate exchange and validation</w:t>
      </w:r>
    </w:p>
    <w:p>
      <w:pPr>
        <w:spacing w:after="80" w:line="300" w:lineRule="auto"/>
        <w:numPr>
          <w:ilvl w:val="0"/>
          <w:numId w:val="10"/>
        </w:numPr>
      </w:pPr>
      <w:r>
        <w:rPr>
          <w:rFonts w:ascii="Arial" w:hAnsi="Arial" w:eastAsia="Arial"/>
          <w:color w:val="242524"/>
          <w:sz w:val="21"/>
        </w:rPr>
        <w:t>Load and approve production cross-references and master data</w:t>
      </w:r>
    </w:p>
    <w:p>
      <w:pPr>
        <w:spacing w:after="80" w:line="300" w:lineRule="auto"/>
        <w:numPr>
          <w:ilvl w:val="0"/>
          <w:numId w:val="10"/>
        </w:numPr>
      </w:pPr>
      <w:r>
        <w:rPr>
          <w:rFonts w:ascii="Arial" w:hAnsi="Arial" w:eastAsia="Arial"/>
          <w:color w:val="242524"/>
          <w:sz w:val="21"/>
        </w:rPr>
        <w:t>Freeze versions and confirm peer-reviewed deployment steps</w:t>
      </w:r>
    </w:p>
    <w:p>
      <w:pPr>
        <w:spacing w:after="80" w:line="300" w:lineRule="auto"/>
        <w:numPr>
          <w:ilvl w:val="0"/>
          <w:numId w:val="10"/>
        </w:numPr>
      </w:pPr>
      <w:r>
        <w:rPr>
          <w:rFonts w:ascii="Arial" w:hAnsi="Arial" w:eastAsia="Arial"/>
          <w:color w:val="242524"/>
          <w:sz w:val="21"/>
        </w:rPr>
        <w:t>Confirm service hours, SLAs, chargeback/compliance clocks, alert recipients, and escalation</w:t>
      </w:r>
    </w:p>
    <w:p>
      <w:pPr>
        <w:spacing w:after="80" w:line="300" w:lineRule="auto"/>
        <w:numPr>
          <w:ilvl w:val="0"/>
          <w:numId w:val="10"/>
        </w:numPr>
      </w:pPr>
      <w:r>
        <w:rPr>
          <w:rFonts w:ascii="Arial" w:hAnsi="Arial" w:eastAsia="Arial"/>
          <w:color w:val="242524"/>
          <w:sz w:val="21"/>
        </w:rPr>
        <w:t>Define first-transaction validation and reconciliation</w:t>
      </w:r>
    </w:p>
    <w:p>
      <w:pPr>
        <w:spacing w:after="80" w:line="300" w:lineRule="auto"/>
        <w:numPr>
          <w:ilvl w:val="0"/>
          <w:numId w:val="10"/>
        </w:numPr>
      </w:pPr>
      <w:r>
        <w:rPr>
          <w:rFonts w:ascii="Arial" w:hAnsi="Arial" w:eastAsia="Arial"/>
          <w:color w:val="242524"/>
          <w:sz w:val="21"/>
        </w:rPr>
        <w:t>Define rollback triggers, authority, steps, data treatment, and communication</w:t>
      </w:r>
    </w:p>
    <w:p>
      <w:pPr>
        <w:spacing w:after="80" w:line="300" w:lineRule="auto"/>
        <w:numPr>
          <w:ilvl w:val="0"/>
          <w:numId w:val="10"/>
        </w:numPr>
      </w:pPr>
      <w:r>
        <w:rPr>
          <w:rFonts w:ascii="Arial" w:hAnsi="Arial" w:eastAsia="Arial"/>
          <w:color w:val="242524"/>
          <w:sz w:val="21"/>
        </w:rPr>
        <w:t>Staff the launch and hypercare window; send partner and internal communications</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Completed go/no-go checklist</w:t>
      </w:r>
    </w:p>
    <w:p>
      <w:pPr>
        <w:spacing w:after="80" w:line="300" w:lineRule="auto"/>
        <w:numPr>
          <w:ilvl w:val="0"/>
          <w:numId w:val="10"/>
        </w:numPr>
      </w:pPr>
      <w:r>
        <w:rPr>
          <w:rFonts w:ascii="Arial" w:hAnsi="Arial" w:eastAsia="Arial"/>
          <w:color w:val="242524"/>
          <w:sz w:val="21"/>
        </w:rPr>
        <w:t>Approved deployment and rollback plan</w:t>
      </w:r>
    </w:p>
    <w:p>
      <w:pPr>
        <w:spacing w:after="80" w:line="300" w:lineRule="auto"/>
        <w:numPr>
          <w:ilvl w:val="0"/>
          <w:numId w:val="10"/>
        </w:numPr>
      </w:pPr>
      <w:r>
        <w:rPr>
          <w:rFonts w:ascii="Arial" w:hAnsi="Arial" w:eastAsia="Arial"/>
          <w:color w:val="242524"/>
          <w:sz w:val="21"/>
        </w:rPr>
        <w:t>Hypercare roster and communication</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All mandatory evidence approved</w:t>
      </w:r>
    </w:p>
    <w:p>
      <w:pPr>
        <w:spacing w:after="80" w:line="300" w:lineRule="auto"/>
        <w:numPr>
          <w:ilvl w:val="0"/>
          <w:numId w:val="10"/>
        </w:numPr>
      </w:pPr>
      <w:r>
        <w:rPr>
          <w:rFonts w:ascii="Arial" w:hAnsi="Arial" w:eastAsia="Arial"/>
          <w:color w:val="242524"/>
          <w:sz w:val="21"/>
        </w:rPr>
        <w:t>No expired/untested production credential</w:t>
      </w:r>
    </w:p>
    <w:p>
      <w:pPr>
        <w:spacing w:after="80" w:line="300" w:lineRule="auto"/>
        <w:numPr>
          <w:ilvl w:val="0"/>
          <w:numId w:val="10"/>
        </w:numPr>
      </w:pPr>
      <w:r>
        <w:rPr>
          <w:rFonts w:ascii="Arial" w:hAnsi="Arial" w:eastAsia="Arial"/>
          <w:color w:val="242524"/>
          <w:sz w:val="21"/>
        </w:rPr>
        <w:t>Rollback is executable</w:t>
      </w:r>
    </w:p>
    <w:p>
      <w:pPr>
        <w:spacing w:after="80" w:line="300" w:lineRule="auto"/>
        <w:numPr>
          <w:ilvl w:val="0"/>
          <w:numId w:val="10"/>
        </w:numPr>
      </w:pPr>
      <w:r>
        <w:rPr>
          <w:rFonts w:ascii="Arial" w:hAnsi="Arial" w:eastAsia="Arial"/>
          <w:color w:val="242524"/>
          <w:sz w:val="21"/>
        </w:rPr>
        <w:t>Owners are available in the launch window</w:t>
      </w:r>
    </w:p>
    <w:p>
      <w:pPr>
        <w:pStyle w:val="Heading2"/>
        <w:keepNext/>
        <w:keepLines/>
        <w:spacing w:before="320"/>
      </w:pPr>
      <w:r>
        <w:rPr>
          <w:rFonts w:ascii="Arial" w:hAnsi="Arial" w:eastAsia="Arial"/>
          <w:b/>
          <w:color w:val="B22125"/>
          <w:sz w:val="27"/>
        </w:rPr>
        <w:t>10  Production rollout</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One agreed change window   </w:t>
      </w:r>
      <w:r>
        <w:rPr>
          <w:rFonts w:ascii="Arial" w:hAnsi="Arial" w:eastAsia="Arial"/>
          <w:b/>
          <w:color w:val="FFFFFF"/>
          <w:sz w:val="17"/>
        </w:rPr>
        <w:t xml:space="preserve"> Accountable owner: </w:t>
      </w:r>
      <w:r>
        <w:rPr>
          <w:rFonts w:ascii="Arial" w:hAnsi="Arial" w:eastAsia="Arial"/>
          <w:color w:val="FFFFFF"/>
          <w:sz w:val="17"/>
        </w:rPr>
        <w:t xml:space="preserve">Ultra PRO integration owner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Enable production safely, validate first transactions, and preserve the ability to recover.</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Approved go/no-go</w:t>
      </w:r>
    </w:p>
    <w:p>
      <w:pPr>
        <w:spacing w:after="80" w:line="300" w:lineRule="auto"/>
        <w:numPr>
          <w:ilvl w:val="0"/>
          <w:numId w:val="10"/>
        </w:numPr>
      </w:pPr>
      <w:r>
        <w:rPr>
          <w:rFonts w:ascii="Arial" w:hAnsi="Arial" w:eastAsia="Arial"/>
          <w:color w:val="242524"/>
          <w:sz w:val="21"/>
        </w:rPr>
        <w:t>Frozen deployment package</w:t>
      </w:r>
    </w:p>
    <w:p>
      <w:pPr>
        <w:spacing w:after="80" w:line="300" w:lineRule="auto"/>
        <w:numPr>
          <w:ilvl w:val="0"/>
          <w:numId w:val="10"/>
        </w:numPr>
      </w:pPr>
      <w:r>
        <w:rPr>
          <w:rFonts w:ascii="Arial" w:hAnsi="Arial" w:eastAsia="Arial"/>
          <w:color w:val="242524"/>
          <w:sz w:val="21"/>
        </w:rPr>
        <w:t>Partner and internal readiness</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Record the final go decision and start time</w:t>
      </w:r>
    </w:p>
    <w:p>
      <w:pPr>
        <w:spacing w:after="80" w:line="300" w:lineRule="auto"/>
        <w:numPr>
          <w:ilvl w:val="0"/>
          <w:numId w:val="10"/>
        </w:numPr>
      </w:pPr>
      <w:r>
        <w:rPr>
          <w:rFonts w:ascii="Arial" w:hAnsi="Arial" w:eastAsia="Arial"/>
          <w:color w:val="242524"/>
          <w:sz w:val="21"/>
        </w:rPr>
        <w:t>Deploy or enable production in the approved sequence</w:t>
      </w:r>
    </w:p>
    <w:p>
      <w:pPr>
        <w:spacing w:after="80" w:line="300" w:lineRule="auto"/>
        <w:numPr>
          <w:ilvl w:val="0"/>
          <w:numId w:val="10"/>
        </w:numPr>
      </w:pPr>
      <w:r>
        <w:rPr>
          <w:rFonts w:ascii="Arial" w:hAnsi="Arial" w:eastAsia="Arial"/>
          <w:color w:val="242524"/>
          <w:sz w:val="21"/>
        </w:rPr>
        <w:t>Validate transport, authentication, route, map, ERPNext/application commit, acknowledgment, and downstream business result</w:t>
      </w:r>
    </w:p>
    <w:p>
      <w:pPr>
        <w:spacing w:after="80" w:line="300" w:lineRule="auto"/>
        <w:numPr>
          <w:ilvl w:val="0"/>
          <w:numId w:val="10"/>
        </w:numPr>
      </w:pPr>
      <w:r>
        <w:rPr>
          <w:rFonts w:ascii="Arial" w:hAnsi="Arial" w:eastAsia="Arial"/>
          <w:color w:val="242524"/>
          <w:sz w:val="21"/>
        </w:rPr>
        <w:t>Reconcile first-transaction counts and timestamps</w:t>
      </w:r>
    </w:p>
    <w:p>
      <w:pPr>
        <w:spacing w:after="80" w:line="300" w:lineRule="auto"/>
        <w:numPr>
          <w:ilvl w:val="0"/>
          <w:numId w:val="10"/>
        </w:numPr>
      </w:pPr>
      <w:r>
        <w:rPr>
          <w:rFonts w:ascii="Arial" w:hAnsi="Arial" w:eastAsia="Arial"/>
          <w:color w:val="242524"/>
          <w:sz w:val="21"/>
        </w:rPr>
        <w:t>Watch alerts, SLA clocks, duplicate/partial failure indicators, and partner portal results</w:t>
      </w:r>
    </w:p>
    <w:p>
      <w:pPr>
        <w:spacing w:after="80" w:line="300" w:lineRule="auto"/>
        <w:numPr>
          <w:ilvl w:val="0"/>
          <w:numId w:val="10"/>
        </w:numPr>
      </w:pPr>
      <w:r>
        <w:rPr>
          <w:rFonts w:ascii="Arial" w:hAnsi="Arial" w:eastAsia="Arial"/>
          <w:color w:val="242524"/>
          <w:sz w:val="21"/>
        </w:rPr>
        <w:t>Invoke rollback when a trigger is met; document every deviation</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Production validation record</w:t>
      </w:r>
    </w:p>
    <w:p>
      <w:pPr>
        <w:spacing w:after="80" w:line="300" w:lineRule="auto"/>
        <w:numPr>
          <w:ilvl w:val="0"/>
          <w:numId w:val="10"/>
        </w:numPr>
      </w:pPr>
      <w:r>
        <w:rPr>
          <w:rFonts w:ascii="Arial" w:hAnsi="Arial" w:eastAsia="Arial"/>
          <w:color w:val="242524"/>
          <w:sz w:val="21"/>
        </w:rPr>
        <w:t>Issue/deviation log</w:t>
      </w:r>
    </w:p>
    <w:p>
      <w:pPr>
        <w:spacing w:after="80" w:line="300" w:lineRule="auto"/>
        <w:numPr>
          <w:ilvl w:val="0"/>
          <w:numId w:val="10"/>
        </w:numPr>
      </w:pPr>
      <w:r>
        <w:rPr>
          <w:rFonts w:ascii="Arial" w:hAnsi="Arial" w:eastAsia="Arial"/>
          <w:color w:val="242524"/>
          <w:sz w:val="21"/>
        </w:rPr>
        <w:t>Launch communication</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First agreed transaction set/object succeeds end to end</w:t>
      </w:r>
    </w:p>
    <w:p>
      <w:pPr>
        <w:spacing w:after="80" w:line="300" w:lineRule="auto"/>
        <w:numPr>
          <w:ilvl w:val="0"/>
          <w:numId w:val="10"/>
        </w:numPr>
      </w:pPr>
      <w:r>
        <w:rPr>
          <w:rFonts w:ascii="Arial" w:hAnsi="Arial" w:eastAsia="Arial"/>
          <w:color w:val="242524"/>
          <w:sz w:val="21"/>
        </w:rPr>
        <w:t>Counts and statuses reconcile</w:t>
      </w:r>
    </w:p>
    <w:p>
      <w:pPr>
        <w:spacing w:after="80" w:line="300" w:lineRule="auto"/>
        <w:numPr>
          <w:ilvl w:val="0"/>
          <w:numId w:val="10"/>
        </w:numPr>
      </w:pPr>
      <w:r>
        <w:rPr>
          <w:rFonts w:ascii="Arial" w:hAnsi="Arial" w:eastAsia="Arial"/>
          <w:color w:val="242524"/>
          <w:sz w:val="21"/>
        </w:rPr>
        <w:t>No unresolved critical failure</w:t>
      </w:r>
    </w:p>
    <w:p>
      <w:pPr>
        <w:spacing w:after="80" w:line="300" w:lineRule="auto"/>
        <w:numPr>
          <w:ilvl w:val="0"/>
          <w:numId w:val="10"/>
        </w:numPr>
      </w:pPr>
      <w:r>
        <w:rPr>
          <w:rFonts w:ascii="Arial" w:hAnsi="Arial" w:eastAsia="Arial"/>
          <w:color w:val="242524"/>
          <w:sz w:val="21"/>
        </w:rPr>
        <w:t>Business and technical owners accept launch continuation</w:t>
      </w:r>
    </w:p>
    <w:p>
      <w:pPr>
        <w:pStyle w:val="Heading2"/>
        <w:keepNext/>
        <w:keepLines/>
        <w:spacing w:before="320"/>
      </w:pPr>
      <w:r>
        <w:rPr>
          <w:rFonts w:ascii="Arial" w:hAnsi="Arial" w:eastAsia="Arial"/>
          <w:b/>
          <w:color w:val="B22125"/>
          <w:sz w:val="27"/>
        </w:rPr>
        <w:t>11  Hypercare and transition</w:t>
      </w:r>
    </w:p>
    <w:p>
      <w:pPr>
        <w:spacing w:after="160"/>
        <w:shd w:fill="070707" w:val="clear"/>
      </w:pPr>
      <w:r>
        <w:rPr>
          <w:rFonts w:ascii="Arial" w:hAnsi="Arial" w:eastAsia="Arial"/>
          <w:b/>
          <w:color w:val="FFFFFF"/>
          <w:sz w:val="17"/>
        </w:rPr>
        <w:t xml:space="preserve"> Typical elapsed time: </w:t>
      </w:r>
      <w:r>
        <w:rPr>
          <w:rFonts w:ascii="Arial" w:hAnsi="Arial" w:eastAsia="Arial"/>
          <w:color w:val="FFFFFF"/>
          <w:sz w:val="17"/>
        </w:rPr>
        <w:t xml:space="preserve">5-10 business days   </w:t>
      </w:r>
      <w:r>
        <w:rPr>
          <w:rFonts w:ascii="Arial" w:hAnsi="Arial" w:eastAsia="Arial"/>
          <w:b/>
          <w:color w:val="FFFFFF"/>
          <w:sz w:val="17"/>
        </w:rPr>
        <w:t xml:space="preserve"> Accountable owner: </w:t>
      </w:r>
      <w:r>
        <w:rPr>
          <w:rFonts w:ascii="Arial" w:hAnsi="Arial" w:eastAsia="Arial"/>
          <w:color w:val="FFFFFF"/>
          <w:sz w:val="17"/>
        </w:rPr>
        <w:t xml:space="preserve">Integration + business owners   </w:t>
      </w:r>
    </w:p>
    <w:p>
      <w:pPr>
        <w:spacing w:before="0" w:after="120" w:line="300" w:lineRule="auto"/>
      </w:pPr>
      <w:r>
        <w:rPr>
          <w:rFonts w:ascii="Arial" w:hAnsi="Arial" w:eastAsia="Arial"/>
          <w:b/>
          <w:color w:val="242524"/>
          <w:sz w:val="21"/>
        </w:rPr>
        <w:t xml:space="preserve">Objective: </w:t>
      </w:r>
      <w:r>
        <w:rPr>
          <w:rFonts w:ascii="Arial" w:hAnsi="Arial" w:eastAsia="Arial"/>
          <w:i w:val="0"/>
          <w:color w:val="242524"/>
          <w:sz w:val="21"/>
        </w:rPr>
        <w:t>Stabilize the integration, baseline performance, close known issues, and transition to normal support.</w:t>
      </w:r>
    </w:p>
    <w:p>
      <w:pPr>
        <w:keepNext/>
        <w:spacing w:before="120" w:after="60"/>
      </w:pPr>
      <w:r>
        <w:rPr>
          <w:rFonts w:ascii="Arial" w:hAnsi="Arial" w:eastAsia="Arial"/>
          <w:b/>
          <w:color w:val="8F171B"/>
          <w:sz w:val="20"/>
        </w:rPr>
        <w:t>Inputs</w:t>
      </w:r>
    </w:p>
    <w:p>
      <w:pPr>
        <w:spacing w:after="80" w:line="300" w:lineRule="auto"/>
        <w:numPr>
          <w:ilvl w:val="0"/>
          <w:numId w:val="10"/>
        </w:numPr>
      </w:pPr>
      <w:r>
        <w:rPr>
          <w:rFonts w:ascii="Arial" w:hAnsi="Arial" w:eastAsia="Arial"/>
          <w:color w:val="242524"/>
          <w:sz w:val="21"/>
        </w:rPr>
        <w:t>Production validation</w:t>
      </w:r>
    </w:p>
    <w:p>
      <w:pPr>
        <w:spacing w:after="80" w:line="300" w:lineRule="auto"/>
        <w:numPr>
          <w:ilvl w:val="0"/>
          <w:numId w:val="10"/>
        </w:numPr>
      </w:pPr>
      <w:r>
        <w:rPr>
          <w:rFonts w:ascii="Arial" w:hAnsi="Arial" w:eastAsia="Arial"/>
          <w:color w:val="242524"/>
          <w:sz w:val="21"/>
        </w:rPr>
        <w:t>Hypercare plan</w:t>
      </w:r>
    </w:p>
    <w:p>
      <w:pPr>
        <w:spacing w:after="80" w:line="300" w:lineRule="auto"/>
        <w:numPr>
          <w:ilvl w:val="0"/>
          <w:numId w:val="10"/>
        </w:numPr>
      </w:pPr>
      <w:r>
        <w:rPr>
          <w:rFonts w:ascii="Arial" w:hAnsi="Arial" w:eastAsia="Arial"/>
          <w:color w:val="242524"/>
          <w:sz w:val="21"/>
        </w:rPr>
        <w:t>Known issue and risk log</w:t>
      </w:r>
    </w:p>
    <w:p>
      <w:pPr>
        <w:keepNext/>
        <w:spacing w:before="120" w:after="60"/>
      </w:pPr>
      <w:r>
        <w:rPr>
          <w:rFonts w:ascii="Arial" w:hAnsi="Arial" w:eastAsia="Arial"/>
          <w:b/>
          <w:color w:val="8F171B"/>
          <w:sz w:val="20"/>
        </w:rPr>
        <w:t>Required actions</w:t>
      </w:r>
    </w:p>
    <w:p>
      <w:pPr>
        <w:spacing w:after="80" w:line="300" w:lineRule="auto"/>
        <w:numPr>
          <w:ilvl w:val="0"/>
          <w:numId w:val="10"/>
        </w:numPr>
      </w:pPr>
      <w:r>
        <w:rPr>
          <w:rFonts w:ascii="Arial" w:hAnsi="Arial" w:eastAsia="Arial"/>
          <w:color w:val="242524"/>
          <w:sz w:val="21"/>
        </w:rPr>
        <w:t>Review failures, acknowledgments, counts, SLA aging, and support tickets daily</w:t>
      </w:r>
    </w:p>
    <w:p>
      <w:pPr>
        <w:spacing w:after="80" w:line="300" w:lineRule="auto"/>
        <w:numPr>
          <w:ilvl w:val="0"/>
          <w:numId w:val="10"/>
        </w:numPr>
      </w:pPr>
      <w:r>
        <w:rPr>
          <w:rFonts w:ascii="Arial" w:hAnsi="Arial" w:eastAsia="Arial"/>
          <w:color w:val="242524"/>
          <w:sz w:val="21"/>
        </w:rPr>
        <w:t>Route exceptions to named departments and verify recovery</w:t>
      </w:r>
    </w:p>
    <w:p>
      <w:pPr>
        <w:spacing w:after="80" w:line="300" w:lineRule="auto"/>
        <w:numPr>
          <w:ilvl w:val="0"/>
          <w:numId w:val="10"/>
        </w:numPr>
      </w:pPr>
      <w:r>
        <w:rPr>
          <w:rFonts w:ascii="Arial" w:hAnsi="Arial" w:eastAsia="Arial"/>
          <w:color w:val="242524"/>
          <w:sz w:val="21"/>
        </w:rPr>
        <w:t>Tune thresholds and alerts without hiding failures</w:t>
      </w:r>
    </w:p>
    <w:p>
      <w:pPr>
        <w:spacing w:after="80" w:line="300" w:lineRule="auto"/>
        <w:numPr>
          <w:ilvl w:val="0"/>
          <w:numId w:val="10"/>
        </w:numPr>
      </w:pPr>
      <w:r>
        <w:rPr>
          <w:rFonts w:ascii="Arial" w:hAnsi="Arial" w:eastAsia="Arial"/>
          <w:color w:val="242524"/>
          <w:sz w:val="21"/>
        </w:rPr>
        <w:t>Close defects or accept residual risks with owners/dates</w:t>
      </w:r>
    </w:p>
    <w:p>
      <w:pPr>
        <w:spacing w:after="80" w:line="300" w:lineRule="auto"/>
        <w:numPr>
          <w:ilvl w:val="0"/>
          <w:numId w:val="10"/>
        </w:numPr>
      </w:pPr>
      <w:r>
        <w:rPr>
          <w:rFonts w:ascii="Arial" w:hAnsi="Arial" w:eastAsia="Arial"/>
          <w:color w:val="242524"/>
          <w:sz w:val="21"/>
        </w:rPr>
        <w:t>Confirm runbook, access, contacts, dashboards, certificate expiry, and maintenance ownership</w:t>
      </w:r>
    </w:p>
    <w:p>
      <w:pPr>
        <w:spacing w:after="80" w:line="300" w:lineRule="auto"/>
        <w:numPr>
          <w:ilvl w:val="0"/>
          <w:numId w:val="10"/>
        </w:numPr>
      </w:pPr>
      <w:r>
        <w:rPr>
          <w:rFonts w:ascii="Arial" w:hAnsi="Arial" w:eastAsia="Arial"/>
          <w:color w:val="242524"/>
          <w:sz w:val="21"/>
        </w:rPr>
        <w:t>Measure retired manual work and baseline KPIs</w:t>
      </w:r>
    </w:p>
    <w:p>
      <w:pPr>
        <w:spacing w:after="80" w:line="300" w:lineRule="auto"/>
        <w:numPr>
          <w:ilvl w:val="0"/>
          <w:numId w:val="10"/>
        </w:numPr>
      </w:pPr>
      <w:r>
        <w:rPr>
          <w:rFonts w:ascii="Arial" w:hAnsi="Arial" w:eastAsia="Arial"/>
          <w:color w:val="242524"/>
          <w:sz w:val="21"/>
        </w:rPr>
        <w:t>Hold hypercare exit review and hand off to EDI Support operations</w:t>
      </w:r>
    </w:p>
    <w:p>
      <w:pPr>
        <w:keepNext/>
        <w:spacing w:before="120" w:after="60"/>
      </w:pPr>
      <w:r>
        <w:rPr>
          <w:rFonts w:ascii="Arial" w:hAnsi="Arial" w:eastAsia="Arial"/>
          <w:b/>
          <w:color w:val="8F171B"/>
          <w:sz w:val="20"/>
        </w:rPr>
        <w:t>Outputs</w:t>
      </w:r>
    </w:p>
    <w:p>
      <w:pPr>
        <w:spacing w:after="80" w:line="300" w:lineRule="auto"/>
        <w:numPr>
          <w:ilvl w:val="0"/>
          <w:numId w:val="10"/>
        </w:numPr>
      </w:pPr>
      <w:r>
        <w:rPr>
          <w:rFonts w:ascii="Arial" w:hAnsi="Arial" w:eastAsia="Arial"/>
          <w:color w:val="242524"/>
          <w:sz w:val="21"/>
        </w:rPr>
        <w:t>Stabilization report</w:t>
      </w:r>
    </w:p>
    <w:p>
      <w:pPr>
        <w:spacing w:after="80" w:line="300" w:lineRule="auto"/>
        <w:numPr>
          <w:ilvl w:val="0"/>
          <w:numId w:val="10"/>
        </w:numPr>
      </w:pPr>
      <w:r>
        <w:rPr>
          <w:rFonts w:ascii="Arial" w:hAnsi="Arial" w:eastAsia="Arial"/>
          <w:color w:val="242524"/>
          <w:sz w:val="21"/>
        </w:rPr>
        <w:t>Final runbook and support matrix</w:t>
      </w:r>
    </w:p>
    <w:p>
      <w:pPr>
        <w:spacing w:after="80" w:line="300" w:lineRule="auto"/>
        <w:numPr>
          <w:ilvl w:val="0"/>
          <w:numId w:val="10"/>
        </w:numPr>
      </w:pPr>
      <w:r>
        <w:rPr>
          <w:rFonts w:ascii="Arial" w:hAnsi="Arial" w:eastAsia="Arial"/>
          <w:color w:val="242524"/>
          <w:sz w:val="21"/>
        </w:rPr>
        <w:t>KPI baseline</w:t>
      </w:r>
    </w:p>
    <w:p>
      <w:pPr>
        <w:spacing w:after="80" w:line="300" w:lineRule="auto"/>
        <w:numPr>
          <w:ilvl w:val="0"/>
          <w:numId w:val="10"/>
        </w:numPr>
      </w:pPr>
      <w:r>
        <w:rPr>
          <w:rFonts w:ascii="Arial" w:hAnsi="Arial" w:eastAsia="Arial"/>
          <w:color w:val="242524"/>
          <w:sz w:val="21"/>
        </w:rPr>
        <w:t>Hypercare exit approval</w:t>
      </w:r>
    </w:p>
    <w:p>
      <w:pPr>
        <w:keepNext/>
        <w:spacing w:before="120" w:after="60"/>
      </w:pPr>
      <w:r>
        <w:rPr>
          <w:rFonts w:ascii="Arial" w:hAnsi="Arial" w:eastAsia="Arial"/>
          <w:b/>
          <w:color w:val="8F171B"/>
          <w:sz w:val="20"/>
        </w:rPr>
        <w:t>Exit criteria</w:t>
      </w:r>
    </w:p>
    <w:p>
      <w:pPr>
        <w:spacing w:after="80" w:line="300" w:lineRule="auto"/>
        <w:numPr>
          <w:ilvl w:val="0"/>
          <w:numId w:val="10"/>
        </w:numPr>
      </w:pPr>
      <w:r>
        <w:rPr>
          <w:rFonts w:ascii="Arial" w:hAnsi="Arial" w:eastAsia="Arial"/>
          <w:color w:val="242524"/>
          <w:sz w:val="21"/>
        </w:rPr>
        <w:t>No open critical/high defect</w:t>
      </w:r>
    </w:p>
    <w:p>
      <w:pPr>
        <w:spacing w:after="80" w:line="300" w:lineRule="auto"/>
        <w:numPr>
          <w:ilvl w:val="0"/>
          <w:numId w:val="10"/>
        </w:numPr>
      </w:pPr>
      <w:r>
        <w:rPr>
          <w:rFonts w:ascii="Arial" w:hAnsi="Arial" w:eastAsia="Arial"/>
          <w:color w:val="242524"/>
          <w:sz w:val="21"/>
        </w:rPr>
        <w:t>Transaction and acknowledgment success is stable</w:t>
      </w:r>
    </w:p>
    <w:p>
      <w:pPr>
        <w:spacing w:after="80" w:line="300" w:lineRule="auto"/>
        <w:numPr>
          <w:ilvl w:val="0"/>
          <w:numId w:val="10"/>
        </w:numPr>
      </w:pPr>
      <w:r>
        <w:rPr>
          <w:rFonts w:ascii="Arial" w:hAnsi="Arial" w:eastAsia="Arial"/>
          <w:color w:val="242524"/>
          <w:sz w:val="21"/>
        </w:rPr>
        <w:t>Exception backlog is within target</w:t>
      </w:r>
    </w:p>
    <w:p>
      <w:pPr>
        <w:spacing w:after="80" w:line="300" w:lineRule="auto"/>
        <w:numPr>
          <w:ilvl w:val="0"/>
          <w:numId w:val="10"/>
        </w:numPr>
      </w:pPr>
      <w:r>
        <w:rPr>
          <w:rFonts w:ascii="Arial" w:hAnsi="Arial" w:eastAsia="Arial"/>
          <w:color w:val="242524"/>
          <w:sz w:val="21"/>
        </w:rPr>
        <w:t>Support team can monitor, recover, escalate, and reconcile</w:t>
      </w:r>
    </w:p>
    <w:p>
      <w:r>
        <w:br w:type="page"/>
      </w:r>
    </w:p>
    <w:p>
      <w:pPr>
        <w:pStyle w:val="Heading1"/>
        <w:keepNext/>
        <w:keepLines/>
      </w:pPr>
      <w:r>
        <w:rPr>
          <w:rFonts w:ascii="Arial" w:hAnsi="Arial" w:eastAsia="Arial"/>
          <w:b/>
          <w:color w:val="B22125"/>
          <w:sz w:val="36"/>
        </w:rPr>
        <w:t>5. Integration patterns and examples</w:t>
      </w:r>
    </w:p>
    <w:p>
      <w:pPr>
        <w:pStyle w:val="Heading2"/>
        <w:keepNext/>
        <w:keepLines/>
      </w:pPr>
      <w:r>
        <w:rPr>
          <w:rFonts w:ascii="Arial" w:hAnsi="Arial" w:eastAsia="Arial"/>
          <w:b/>
          <w:color w:val="B22125"/>
          <w:sz w:val="27"/>
        </w:rPr>
        <w:t>5.1 Common X12 transaction set</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1000"/>
        <w:gridCol w:w="1700"/>
        <w:gridCol w:w="2500"/>
        <w:gridCol w:w="4160"/>
      </w:tblGrid>
      <w:tr>
        <w:trPr>
          <w:tblHeader w:val="true"/>
          <w:cantSplit w:val="true"/>
        </w:trPr>
        <w:tc>
          <w:tcPr>
            <w:tcW w:type="dxa" w:w="10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Transaction</w:t>
            </w:r>
          </w:p>
        </w:tc>
        <w:tc>
          <w:tcPr>
            <w:tcW w:type="dxa" w:w="17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Direction example</w:t>
            </w:r>
          </w:p>
        </w:tc>
        <w:tc>
          <w:tcPr>
            <w:tcW w:type="dxa" w:w="25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Business purpose</w:t>
            </w:r>
          </w:p>
        </w:tc>
        <w:tc>
          <w:tcPr>
            <w:tcW w:type="dxa" w:w="41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Typical ERPNext / process touchpoint</w:t>
            </w:r>
          </w:p>
        </w:tc>
      </w:tr>
      <w:tr>
        <w:trPr>
          <w:cantSplit w:val="true"/>
        </w:trPr>
        <w:tc>
          <w:tcPr>
            <w:tcW w:type="dxa" w:w="1000"/>
            <w:tcMar>
              <w:top w:w="90" w:type="dxa"/>
              <w:start w:w="120" w:type="dxa"/>
              <w:bottom w:w="90" w:type="dxa"/>
              <w:end w:w="120" w:type="dxa"/>
            </w:tcMar>
            <w:vAlign w:val="center"/>
          </w:tcPr>
          <w:p>
            <w:pPr>
              <w:spacing w:before="0" w:after="0" w:line="259" w:lineRule="auto"/>
            </w:pPr>
            <w:r>
              <w:rPr>
                <w:rFonts w:ascii="Arial" w:hAnsi="Arial" w:eastAsia="Arial"/>
                <w:color w:val="242524"/>
                <w:sz w:val="16"/>
              </w:rPr>
              <w:t>850</w:t>
            </w:r>
          </w:p>
        </w:tc>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Partner → Ultra PRO</w:t>
            </w:r>
          </w:p>
        </w:tc>
        <w:tc>
          <w:tcPr>
            <w:tcW w:type="dxa" w:w="2500"/>
            <w:tcMar>
              <w:top w:w="90" w:type="dxa"/>
              <w:start w:w="120" w:type="dxa"/>
              <w:bottom w:w="90" w:type="dxa"/>
              <w:end w:w="120" w:type="dxa"/>
            </w:tcMar>
            <w:vAlign w:val="center"/>
          </w:tcPr>
          <w:p>
            <w:pPr>
              <w:spacing w:before="0" w:after="0" w:line="259" w:lineRule="auto"/>
            </w:pPr>
            <w:r>
              <w:rPr>
                <w:rFonts w:ascii="Arial" w:hAnsi="Arial" w:eastAsia="Arial"/>
                <w:color w:val="242524"/>
                <w:sz w:val="16"/>
              </w:rPr>
              <w:t>Purchase order</w:t>
            </w:r>
          </w:p>
        </w:tc>
        <w:tc>
          <w:tcPr>
            <w:tcW w:type="dxa" w:w="4160"/>
            <w:tcMar>
              <w:top w:w="90" w:type="dxa"/>
              <w:start w:w="120" w:type="dxa"/>
              <w:bottom w:w="90" w:type="dxa"/>
              <w:end w:w="120" w:type="dxa"/>
            </w:tcMar>
            <w:vAlign w:val="center"/>
          </w:tcPr>
          <w:p>
            <w:pPr>
              <w:spacing w:before="0" w:after="0" w:line="259" w:lineRule="auto"/>
            </w:pPr>
            <w:r>
              <w:rPr>
                <w:rFonts w:ascii="Arial" w:hAnsi="Arial" w:eastAsia="Arial"/>
                <w:color w:val="242524"/>
                <w:sz w:val="16"/>
              </w:rPr>
              <w:t>Sales Order creation or hold; customer/item/location validation</w:t>
            </w:r>
          </w:p>
        </w:tc>
      </w:tr>
      <w:tr>
        <w:trPr>
          <w:cantSplit w:val="true"/>
        </w:trPr>
        <w:tc>
          <w:tcPr>
            <w:tcW w:type="dxa" w:w="10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855</w:t>
            </w:r>
          </w:p>
        </w:tc>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Ultra PRO → Partner</w:t>
            </w:r>
          </w:p>
        </w:tc>
        <w:tc>
          <w:tcPr>
            <w:tcW w:type="dxa" w:w="2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PO acknowledgment</w:t>
            </w:r>
          </w:p>
        </w:tc>
        <w:tc>
          <w:tcPr>
            <w:tcW w:type="dxa" w:w="41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Accepted/rejected/changed quantity and date response</w:t>
            </w:r>
          </w:p>
        </w:tc>
      </w:tr>
      <w:tr>
        <w:trPr>
          <w:cantSplit w:val="true"/>
        </w:trPr>
        <w:tc>
          <w:tcPr>
            <w:tcW w:type="dxa" w:w="1000"/>
            <w:tcMar>
              <w:top w:w="90" w:type="dxa"/>
              <w:start w:w="120" w:type="dxa"/>
              <w:bottom w:w="90" w:type="dxa"/>
              <w:end w:w="120" w:type="dxa"/>
            </w:tcMar>
            <w:vAlign w:val="center"/>
          </w:tcPr>
          <w:p>
            <w:pPr>
              <w:spacing w:before="0" w:after="0" w:line="259" w:lineRule="auto"/>
            </w:pPr>
            <w:r>
              <w:rPr>
                <w:rFonts w:ascii="Arial" w:hAnsi="Arial" w:eastAsia="Arial"/>
                <w:color w:val="242524"/>
                <w:sz w:val="16"/>
              </w:rPr>
              <w:t>856</w:t>
            </w:r>
          </w:p>
        </w:tc>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Ultra PRO → Partner</w:t>
            </w:r>
          </w:p>
        </w:tc>
        <w:tc>
          <w:tcPr>
            <w:tcW w:type="dxa" w:w="2500"/>
            <w:tcMar>
              <w:top w:w="90" w:type="dxa"/>
              <w:start w:w="120" w:type="dxa"/>
              <w:bottom w:w="90" w:type="dxa"/>
              <w:end w:w="120" w:type="dxa"/>
            </w:tcMar>
            <w:vAlign w:val="center"/>
          </w:tcPr>
          <w:p>
            <w:pPr>
              <w:spacing w:before="0" w:after="0" w:line="259" w:lineRule="auto"/>
            </w:pPr>
            <w:r>
              <w:rPr>
                <w:rFonts w:ascii="Arial" w:hAnsi="Arial" w:eastAsia="Arial"/>
                <w:color w:val="242524"/>
                <w:sz w:val="16"/>
              </w:rPr>
              <w:t>Advance ship notice</w:t>
            </w:r>
          </w:p>
        </w:tc>
        <w:tc>
          <w:tcPr>
            <w:tcW w:type="dxa" w:w="4160"/>
            <w:tcMar>
              <w:top w:w="90" w:type="dxa"/>
              <w:start w:w="120" w:type="dxa"/>
              <w:bottom w:w="90" w:type="dxa"/>
              <w:end w:w="120" w:type="dxa"/>
            </w:tcMar>
            <w:vAlign w:val="center"/>
          </w:tcPr>
          <w:p>
            <w:pPr>
              <w:spacing w:before="0" w:after="0" w:line="259" w:lineRule="auto"/>
            </w:pPr>
            <w:r>
              <w:rPr>
                <w:rFonts w:ascii="Arial" w:hAnsi="Arial" w:eastAsia="Arial"/>
                <w:color w:val="242524"/>
                <w:sz w:val="16"/>
              </w:rPr>
              <w:t>Delivery/Shipment data, carton/pallet hierarchy, tracking</w:t>
            </w:r>
          </w:p>
        </w:tc>
      </w:tr>
      <w:tr>
        <w:trPr>
          <w:cantSplit w:val="true"/>
        </w:trPr>
        <w:tc>
          <w:tcPr>
            <w:tcW w:type="dxa" w:w="10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810</w:t>
            </w:r>
          </w:p>
        </w:tc>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Ultra PRO → Partner</w:t>
            </w:r>
          </w:p>
        </w:tc>
        <w:tc>
          <w:tcPr>
            <w:tcW w:type="dxa" w:w="2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Invoice</w:t>
            </w:r>
          </w:p>
        </w:tc>
        <w:tc>
          <w:tcPr>
            <w:tcW w:type="dxa" w:w="41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Sales Invoice and financial totals; tax/freight/allowance rules</w:t>
            </w:r>
          </w:p>
        </w:tc>
      </w:tr>
      <w:tr>
        <w:trPr>
          <w:cantSplit w:val="true"/>
        </w:trPr>
        <w:tc>
          <w:tcPr>
            <w:tcW w:type="dxa" w:w="1000"/>
            <w:tcMar>
              <w:top w:w="90" w:type="dxa"/>
              <w:start w:w="120" w:type="dxa"/>
              <w:bottom w:w="90" w:type="dxa"/>
              <w:end w:w="120" w:type="dxa"/>
            </w:tcMar>
            <w:vAlign w:val="center"/>
          </w:tcPr>
          <w:p>
            <w:pPr>
              <w:spacing w:before="0" w:after="0" w:line="259" w:lineRule="auto"/>
            </w:pPr>
            <w:r>
              <w:rPr>
                <w:rFonts w:ascii="Arial" w:hAnsi="Arial" w:eastAsia="Arial"/>
                <w:color w:val="242524"/>
                <w:sz w:val="16"/>
              </w:rPr>
              <w:t>846</w:t>
            </w:r>
          </w:p>
        </w:tc>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Ultra PRO → Partner</w:t>
            </w:r>
          </w:p>
        </w:tc>
        <w:tc>
          <w:tcPr>
            <w:tcW w:type="dxa" w:w="2500"/>
            <w:tcMar>
              <w:top w:w="90" w:type="dxa"/>
              <w:start w:w="120" w:type="dxa"/>
              <w:bottom w:w="90" w:type="dxa"/>
              <w:end w:w="120" w:type="dxa"/>
            </w:tcMar>
            <w:vAlign w:val="center"/>
          </w:tcPr>
          <w:p>
            <w:pPr>
              <w:spacing w:before="0" w:after="0" w:line="259" w:lineRule="auto"/>
            </w:pPr>
            <w:r>
              <w:rPr>
                <w:rFonts w:ascii="Arial" w:hAnsi="Arial" w:eastAsia="Arial"/>
                <w:color w:val="242524"/>
                <w:sz w:val="16"/>
              </w:rPr>
              <w:t>Inventory advice</w:t>
            </w:r>
          </w:p>
        </w:tc>
        <w:tc>
          <w:tcPr>
            <w:tcW w:type="dxa" w:w="4160"/>
            <w:tcMar>
              <w:top w:w="90" w:type="dxa"/>
              <w:start w:w="120" w:type="dxa"/>
              <w:bottom w:w="90" w:type="dxa"/>
              <w:end w:w="120" w:type="dxa"/>
            </w:tcMar>
            <w:vAlign w:val="center"/>
          </w:tcPr>
          <w:p>
            <w:pPr>
              <w:spacing w:before="0" w:after="0" w:line="259" w:lineRule="auto"/>
            </w:pPr>
            <w:r>
              <w:rPr>
                <w:rFonts w:ascii="Arial" w:hAnsi="Arial" w:eastAsia="Arial"/>
                <w:color w:val="242524"/>
                <w:sz w:val="16"/>
              </w:rPr>
              <w:t>Available-to-sell by approved warehouse/location</w:t>
            </w:r>
          </w:p>
        </w:tc>
      </w:tr>
      <w:tr>
        <w:trPr>
          <w:cantSplit w:val="true"/>
        </w:trPr>
        <w:tc>
          <w:tcPr>
            <w:tcW w:type="dxa" w:w="10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860 / 865</w:t>
            </w:r>
          </w:p>
        </w:tc>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Bidirectional</w:t>
            </w:r>
          </w:p>
        </w:tc>
        <w:tc>
          <w:tcPr>
            <w:tcW w:type="dxa" w:w="2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PO change and response</w:t>
            </w:r>
          </w:p>
        </w:tc>
        <w:tc>
          <w:tcPr>
            <w:tcW w:type="dxa" w:w="41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Controlled change to Sales Order with status/exception rules</w:t>
            </w:r>
          </w:p>
        </w:tc>
      </w:tr>
      <w:tr>
        <w:trPr>
          <w:cantSplit w:val="true"/>
        </w:trPr>
        <w:tc>
          <w:tcPr>
            <w:tcW w:type="dxa" w:w="1000"/>
            <w:tcMar>
              <w:top w:w="90" w:type="dxa"/>
              <w:start w:w="120" w:type="dxa"/>
              <w:bottom w:w="90" w:type="dxa"/>
              <w:end w:w="120" w:type="dxa"/>
            </w:tcMar>
            <w:vAlign w:val="center"/>
          </w:tcPr>
          <w:p>
            <w:pPr>
              <w:spacing w:before="0" w:after="0" w:line="259" w:lineRule="auto"/>
            </w:pPr>
            <w:r>
              <w:rPr>
                <w:rFonts w:ascii="Arial" w:hAnsi="Arial" w:eastAsia="Arial"/>
                <w:color w:val="242524"/>
                <w:sz w:val="16"/>
              </w:rPr>
              <w:t>940 / 945</w:t>
            </w:r>
          </w:p>
        </w:tc>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Ultra PRO ↔ fulfillment</w:t>
            </w:r>
          </w:p>
        </w:tc>
        <w:tc>
          <w:tcPr>
            <w:tcW w:type="dxa" w:w="2500"/>
            <w:tcMar>
              <w:top w:w="90" w:type="dxa"/>
              <w:start w:w="120" w:type="dxa"/>
              <w:bottom w:w="90" w:type="dxa"/>
              <w:end w:w="120" w:type="dxa"/>
            </w:tcMar>
            <w:vAlign w:val="center"/>
          </w:tcPr>
          <w:p>
            <w:pPr>
              <w:spacing w:before="0" w:after="0" w:line="259" w:lineRule="auto"/>
            </w:pPr>
            <w:r>
              <w:rPr>
                <w:rFonts w:ascii="Arial" w:hAnsi="Arial" w:eastAsia="Arial"/>
                <w:color w:val="242524"/>
                <w:sz w:val="16"/>
              </w:rPr>
              <w:t>Warehouse shipping order/advice</w:t>
            </w:r>
          </w:p>
        </w:tc>
        <w:tc>
          <w:tcPr>
            <w:tcW w:type="dxa" w:w="4160"/>
            <w:tcMar>
              <w:top w:w="90" w:type="dxa"/>
              <w:start w:w="120" w:type="dxa"/>
              <w:bottom w:w="90" w:type="dxa"/>
              <w:end w:w="120" w:type="dxa"/>
            </w:tcMar>
            <w:vAlign w:val="center"/>
          </w:tcPr>
          <w:p>
            <w:pPr>
              <w:spacing w:before="0" w:after="0" w:line="259" w:lineRule="auto"/>
            </w:pPr>
            <w:r>
              <w:rPr>
                <w:rFonts w:ascii="Arial" w:hAnsi="Arial" w:eastAsia="Arial"/>
                <w:color w:val="242524"/>
                <w:sz w:val="16"/>
              </w:rPr>
              <w:t>Fulfillment request and confirmation</w:t>
            </w:r>
          </w:p>
        </w:tc>
      </w:tr>
      <w:tr>
        <w:trPr>
          <w:cantSplit w:val="true"/>
        </w:trPr>
        <w:tc>
          <w:tcPr>
            <w:tcW w:type="dxa" w:w="10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997 / 999</w:t>
            </w:r>
          </w:p>
        </w:tc>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Bidirectional</w:t>
            </w:r>
          </w:p>
        </w:tc>
        <w:tc>
          <w:tcPr>
            <w:tcW w:type="dxa" w:w="2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Functional acknowledgment</w:t>
            </w:r>
          </w:p>
        </w:tc>
        <w:tc>
          <w:tcPr>
            <w:tcW w:type="dxa" w:w="41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Syntax/implementation acknowledgment; not business acceptance</w:t>
            </w:r>
          </w:p>
        </w:tc>
      </w:tr>
    </w:tbl>
    <w:p>
      <w:pPr>
        <w:spacing w:before="0" w:after="100"/>
      </w:pPr>
    </w:p>
    <w:p>
      <w:pPr>
        <w:pStyle w:val="Heading2"/>
        <w:keepNext/>
        <w:keepLines/>
      </w:pPr>
      <w:r>
        <w:rPr>
          <w:rFonts w:ascii="Arial" w:hAnsi="Arial" w:eastAsia="Arial"/>
          <w:b/>
          <w:color w:val="B22125"/>
          <w:sz w:val="27"/>
        </w:rPr>
        <w:t>5.2 API and marketplace patterns</w:t>
      </w:r>
    </w:p>
    <w:p>
      <w:pPr>
        <w:spacing w:after="80" w:line="300" w:lineRule="auto"/>
        <w:numPr>
          <w:ilvl w:val="0"/>
          <w:numId w:val="10"/>
        </w:numPr>
      </w:pPr>
      <w:r>
        <w:rPr>
          <w:rFonts w:ascii="Arial" w:hAnsi="Arial" w:eastAsia="Arial"/>
          <w:color w:val="242524"/>
          <w:sz w:val="21"/>
        </w:rPr>
        <w:t>Order ingestion: create or update the approved ERPNext object with partner order ID, customer PO reference, timestamps, item/UOM, pricing, ship-to, and requested dates.</w:t>
      </w:r>
    </w:p>
    <w:p>
      <w:pPr>
        <w:spacing w:after="80" w:line="300" w:lineRule="auto"/>
        <w:numPr>
          <w:ilvl w:val="0"/>
          <w:numId w:val="10"/>
        </w:numPr>
      </w:pPr>
      <w:r>
        <w:rPr>
          <w:rFonts w:ascii="Arial" w:hAnsi="Arial" w:eastAsia="Arial"/>
          <w:color w:val="242524"/>
          <w:sz w:val="21"/>
        </w:rPr>
        <w:t>Inventory publication: calculate the approved available-to-sell quantity from the right warehouse set and publish on the agreed schedule or event.</w:t>
      </w:r>
    </w:p>
    <w:p>
      <w:pPr>
        <w:spacing w:after="80" w:line="300" w:lineRule="auto"/>
        <w:numPr>
          <w:ilvl w:val="0"/>
          <w:numId w:val="10"/>
        </w:numPr>
      </w:pPr>
      <w:r>
        <w:rPr>
          <w:rFonts w:ascii="Arial" w:hAnsi="Arial" w:eastAsia="Arial"/>
          <w:color w:val="242524"/>
          <w:sz w:val="21"/>
        </w:rPr>
        <w:t>Shipment and tracking: send carrier, tracking, ship date, items, quantities, packages, and status; design webhook retry and signature verification.</w:t>
      </w:r>
    </w:p>
    <w:p>
      <w:pPr>
        <w:spacing w:after="80" w:line="300" w:lineRule="auto"/>
        <w:numPr>
          <w:ilvl w:val="0"/>
          <w:numId w:val="10"/>
        </w:numPr>
      </w:pPr>
      <w:r>
        <w:rPr>
          <w:rFonts w:ascii="Arial" w:hAnsi="Arial" w:eastAsia="Arial"/>
          <w:color w:val="242524"/>
          <w:sz w:val="21"/>
        </w:rPr>
        <w:t>Item/catalog: define owner and path for SKUs, names, descriptions, attributes, images, case packs, and corrections before orders containing those items are accepted.</w:t>
      </w:r>
    </w:p>
    <w:p>
      <w:pPr>
        <w:spacing w:after="80" w:line="300" w:lineRule="auto"/>
        <w:numPr>
          <w:ilvl w:val="0"/>
          <w:numId w:val="10"/>
        </w:numPr>
      </w:pPr>
      <w:r>
        <w:rPr>
          <w:rFonts w:ascii="Arial" w:hAnsi="Arial" w:eastAsia="Arial"/>
          <w:color w:val="242524"/>
          <w:sz w:val="21"/>
        </w:rPr>
        <w:t>Returns, cancellations, settlements, and fees: map platform-specific objects to the correct operational and financial process; do not force non-EDI marketplace data into an unrelated X12 model.</w:t>
      </w:r>
    </w:p>
    <w:p>
      <w:pPr>
        <w:spacing w:after="80" w:line="300" w:lineRule="auto"/>
        <w:numPr>
          <w:ilvl w:val="0"/>
          <w:numId w:val="10"/>
        </w:numPr>
      </w:pPr>
      <w:r>
        <w:rPr>
          <w:rFonts w:ascii="Arial" w:hAnsi="Arial" w:eastAsia="Arial"/>
          <w:color w:val="242524"/>
          <w:sz w:val="21"/>
        </w:rPr>
        <w:t>Technical controls: OAuth 2.0 or approved credential, mTLS where required, rate limit/backoff, pagination, idempotency key, replay window, webhook verification, and version compatibility.</w:t>
      </w:r>
    </w:p>
    <w:p>
      <w:pPr>
        <w:pStyle w:val="Heading2"/>
        <w:keepNext/>
        <w:keepLines/>
      </w:pPr>
      <w:r>
        <w:rPr>
          <w:rFonts w:ascii="Arial" w:hAnsi="Arial" w:eastAsia="Arial"/>
          <w:b/>
          <w:color w:val="B22125"/>
          <w:sz w:val="27"/>
        </w:rPr>
        <w:t>5.3 Managed file transfer pattern</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2400"/>
        <w:gridCol w:w="6960"/>
      </w:tblGrid>
      <w:tr>
        <w:trPr>
          <w:tblHeader w:val="true"/>
          <w:cantSplit w:val="true"/>
        </w:trPr>
        <w:tc>
          <w:tcPr>
            <w:tcW w:type="dxa" w:w="24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Decision</w:t>
            </w:r>
          </w:p>
        </w:tc>
        <w:tc>
          <w:tcPr>
            <w:tcW w:type="dxa" w:w="69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Required definition</w:t>
            </w:r>
          </w:p>
        </w:tc>
      </w:tr>
      <w:tr>
        <w:trPr>
          <w:cantSplit w:val="true"/>
        </w:trPr>
        <w:tc>
          <w:tcPr>
            <w:tcW w:type="dxa" w:w="2400"/>
            <w:tcMar>
              <w:top w:w="90" w:type="dxa"/>
              <w:start w:w="120" w:type="dxa"/>
              <w:bottom w:w="90" w:type="dxa"/>
              <w:end w:w="120" w:type="dxa"/>
            </w:tcMar>
            <w:vAlign w:val="center"/>
          </w:tcPr>
          <w:p>
            <w:pPr>
              <w:spacing w:before="0" w:after="0" w:line="259" w:lineRule="auto"/>
            </w:pPr>
            <w:r>
              <w:rPr>
                <w:rFonts w:ascii="Arial" w:hAnsi="Arial" w:eastAsia="Arial"/>
                <w:color w:val="242524"/>
                <w:sz w:val="16"/>
              </w:rPr>
              <w:t>Transport and identity</w:t>
            </w:r>
          </w:p>
        </w:tc>
        <w:tc>
          <w:tcPr>
            <w:tcW w:type="dxa" w:w="6960"/>
            <w:tcMar>
              <w:top w:w="90" w:type="dxa"/>
              <w:start w:w="120" w:type="dxa"/>
              <w:bottom w:w="90" w:type="dxa"/>
              <w:end w:w="120" w:type="dxa"/>
            </w:tcMar>
            <w:vAlign w:val="center"/>
          </w:tcPr>
          <w:p>
            <w:pPr>
              <w:spacing w:before="0" w:after="0" w:line="259" w:lineRule="auto"/>
            </w:pPr>
            <w:r>
              <w:rPr>
                <w:rFonts w:ascii="Arial" w:hAnsi="Arial" w:eastAsia="Arial"/>
                <w:color w:val="242524"/>
                <w:sz w:val="16"/>
              </w:rPr>
              <w:t>SFTP host/port, SSH key, user, allowlist, test and production separation, rotation owner</w:t>
            </w:r>
          </w:p>
        </w:tc>
      </w:tr>
      <w:tr>
        <w:trPr>
          <w:cantSplit w:val="true"/>
        </w:trPr>
        <w:tc>
          <w:tcPr>
            <w:tcW w:type="dxa" w:w="24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File contract</w:t>
            </w:r>
          </w:p>
        </w:tc>
        <w:tc>
          <w:tcPr>
            <w:tcW w:type="dxa" w:w="69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Schema/version, encoding, delimiter, quoting, header/trailer, date/time zone, decimal rules, nulls, maximum size</w:t>
            </w:r>
          </w:p>
        </w:tc>
      </w:tr>
      <w:tr>
        <w:trPr>
          <w:cantSplit w:val="true"/>
        </w:trPr>
        <w:tc>
          <w:tcPr>
            <w:tcW w:type="dxa" w:w="2400"/>
            <w:tcMar>
              <w:top w:w="90" w:type="dxa"/>
              <w:start w:w="120" w:type="dxa"/>
              <w:bottom w:w="90" w:type="dxa"/>
              <w:end w:w="120" w:type="dxa"/>
            </w:tcMar>
            <w:vAlign w:val="center"/>
          </w:tcPr>
          <w:p>
            <w:pPr>
              <w:spacing w:before="0" w:after="0" w:line="259" w:lineRule="auto"/>
            </w:pPr>
            <w:r>
              <w:rPr>
                <w:rFonts w:ascii="Arial" w:hAnsi="Arial" w:eastAsia="Arial"/>
                <w:color w:val="242524"/>
                <w:sz w:val="16"/>
              </w:rPr>
              <w:t>Naming and folders</w:t>
            </w:r>
          </w:p>
        </w:tc>
        <w:tc>
          <w:tcPr>
            <w:tcW w:type="dxa" w:w="6960"/>
            <w:tcMar>
              <w:top w:w="90" w:type="dxa"/>
              <w:start w:w="120" w:type="dxa"/>
              <w:bottom w:w="90" w:type="dxa"/>
              <w:end w:w="120" w:type="dxa"/>
            </w:tcMar>
            <w:vAlign w:val="center"/>
          </w:tcPr>
          <w:p>
            <w:pPr>
              <w:spacing w:before="0" w:after="0" w:line="259" w:lineRule="auto"/>
            </w:pPr>
            <w:r>
              <w:rPr>
                <w:rFonts w:ascii="Arial" w:hAnsi="Arial" w:eastAsia="Arial"/>
                <w:color w:val="242524"/>
                <w:sz w:val="16"/>
              </w:rPr>
              <w:t>Inbound/outbound/archive/quarantine paths, file pattern, uniqueness, completion marker, duplicate behavior</w:t>
            </w:r>
          </w:p>
        </w:tc>
      </w:tr>
      <w:tr>
        <w:trPr>
          <w:cantSplit w:val="true"/>
        </w:trPr>
        <w:tc>
          <w:tcPr>
            <w:tcW w:type="dxa" w:w="24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Schedule</w:t>
            </w:r>
          </w:p>
        </w:tc>
        <w:tc>
          <w:tcPr>
            <w:tcW w:type="dxa" w:w="69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Time zone, frequency, cutoffs, holidays, late/missing file threshold, backfill</w:t>
            </w:r>
          </w:p>
        </w:tc>
      </w:tr>
      <w:tr>
        <w:trPr>
          <w:cantSplit w:val="true"/>
        </w:trPr>
        <w:tc>
          <w:tcPr>
            <w:tcW w:type="dxa" w:w="2400"/>
            <w:tcMar>
              <w:top w:w="90" w:type="dxa"/>
              <w:start w:w="120" w:type="dxa"/>
              <w:bottom w:w="90" w:type="dxa"/>
              <w:end w:w="120" w:type="dxa"/>
            </w:tcMar>
            <w:vAlign w:val="center"/>
          </w:tcPr>
          <w:p>
            <w:pPr>
              <w:spacing w:before="0" w:after="0" w:line="259" w:lineRule="auto"/>
            </w:pPr>
            <w:r>
              <w:rPr>
                <w:rFonts w:ascii="Arial" w:hAnsi="Arial" w:eastAsia="Arial"/>
                <w:color w:val="242524"/>
                <w:sz w:val="16"/>
              </w:rPr>
              <w:t>Integrity and recovery</w:t>
            </w:r>
          </w:p>
        </w:tc>
        <w:tc>
          <w:tcPr>
            <w:tcW w:type="dxa" w:w="6960"/>
            <w:tcMar>
              <w:top w:w="90" w:type="dxa"/>
              <w:start w:w="120" w:type="dxa"/>
              <w:bottom w:w="90" w:type="dxa"/>
              <w:end w:w="120" w:type="dxa"/>
            </w:tcMar>
            <w:vAlign w:val="center"/>
          </w:tcPr>
          <w:p>
            <w:pPr>
              <w:spacing w:before="0" w:after="0" w:line="259" w:lineRule="auto"/>
            </w:pPr>
            <w:r>
              <w:rPr>
                <w:rFonts w:ascii="Arial" w:hAnsi="Arial" w:eastAsia="Arial"/>
                <w:color w:val="242524"/>
                <w:sz w:val="16"/>
              </w:rPr>
              <w:t>Checksum or control totals, row counts, acknowledgment, retry, partial failure, replay, retention</w:t>
            </w:r>
          </w:p>
        </w:tc>
      </w:tr>
      <w:tr>
        <w:trPr>
          <w:cantSplit w:val="true"/>
        </w:trPr>
        <w:tc>
          <w:tcPr>
            <w:tcW w:type="dxa" w:w="24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Business reconciliation</w:t>
            </w:r>
          </w:p>
        </w:tc>
        <w:tc>
          <w:tcPr>
            <w:tcW w:type="dxa" w:w="69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Expected totals and statuses, recipient of exceptions, aging, correction and sign-off</w:t>
            </w:r>
          </w:p>
        </w:tc>
      </w:tr>
    </w:tbl>
    <w:p>
      <w:pPr>
        <w:spacing w:before="0" w:after="100"/>
      </w:pPr>
    </w:p>
    <w:p>
      <w:r>
        <w:br w:type="page"/>
      </w:r>
    </w:p>
    <w:p>
      <w:pPr>
        <w:pStyle w:val="Heading1"/>
        <w:keepNext/>
        <w:keepLines/>
      </w:pPr>
      <w:r>
        <w:rPr>
          <w:rFonts w:ascii="Arial" w:hAnsi="Arial" w:eastAsia="Arial"/>
          <w:b/>
          <w:color w:val="B22125"/>
          <w:sz w:val="36"/>
        </w:rPr>
        <w:t>6. Testing and business acceptance</w:t>
      </w:r>
    </w:p>
    <w:p>
      <w:pPr>
        <w:pStyle w:val="Heading2"/>
        <w:keepNext/>
        <w:keepLines/>
      </w:pPr>
      <w:r>
        <w:rPr>
          <w:rFonts w:ascii="Arial" w:hAnsi="Arial" w:eastAsia="Arial"/>
          <w:b/>
          <w:color w:val="B22125"/>
          <w:sz w:val="27"/>
        </w:rPr>
        <w:t>6.1 Required test levels</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1700"/>
        <w:gridCol w:w="3050"/>
        <w:gridCol w:w="4610"/>
      </w:tblGrid>
      <w:tr>
        <w:trPr>
          <w:tblHeader w:val="true"/>
          <w:cantSplit w:val="true"/>
        </w:trPr>
        <w:tc>
          <w:tcPr>
            <w:tcW w:type="dxa" w:w="17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Level</w:t>
            </w:r>
          </w:p>
        </w:tc>
        <w:tc>
          <w:tcPr>
            <w:tcW w:type="dxa" w:w="305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Purpose</w:t>
            </w:r>
          </w:p>
        </w:tc>
        <w:tc>
          <w:tcPr>
            <w:tcW w:type="dxa" w:w="461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Minimum evidence</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Connectivity</w:t>
            </w:r>
          </w:p>
        </w:tc>
        <w:tc>
          <w:tcPr>
            <w:tcW w:type="dxa" w:w="3050"/>
            <w:tcMar>
              <w:top w:w="90" w:type="dxa"/>
              <w:start w:w="120" w:type="dxa"/>
              <w:bottom w:w="90" w:type="dxa"/>
              <w:end w:w="120" w:type="dxa"/>
            </w:tcMar>
            <w:vAlign w:val="center"/>
          </w:tcPr>
          <w:p>
            <w:pPr>
              <w:spacing w:before="0" w:after="0" w:line="259" w:lineRule="auto"/>
            </w:pPr>
            <w:r>
              <w:rPr>
                <w:rFonts w:ascii="Arial" w:hAnsi="Arial" w:eastAsia="Arial"/>
                <w:color w:val="242524"/>
                <w:sz w:val="16"/>
              </w:rPr>
              <w:t>Prove endpoint, network, identity, certificate/key, folder, and permission</w:t>
            </w:r>
          </w:p>
        </w:tc>
        <w:tc>
          <w:tcPr>
            <w:tcW w:type="dxa" w:w="4610"/>
            <w:tcMar>
              <w:top w:w="90" w:type="dxa"/>
              <w:start w:w="120" w:type="dxa"/>
              <w:bottom w:w="90" w:type="dxa"/>
              <w:end w:w="120" w:type="dxa"/>
            </w:tcMar>
            <w:vAlign w:val="center"/>
          </w:tcPr>
          <w:p>
            <w:pPr>
              <w:spacing w:before="0" w:after="0" w:line="259" w:lineRule="auto"/>
            </w:pPr>
            <w:r>
              <w:rPr>
                <w:rFonts w:ascii="Arial" w:hAnsi="Arial" w:eastAsia="Arial"/>
                <w:color w:val="242524"/>
                <w:sz w:val="16"/>
              </w:rPr>
              <w:t>Timestamped send/receive or API response; endpoint and environment identified</w:t>
            </w:r>
          </w:p>
        </w:tc>
      </w:tr>
      <w:tr>
        <w:trPr>
          <w:cantSplit w:val="true"/>
        </w:trPr>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Component</w:t>
            </w:r>
          </w:p>
        </w:tc>
        <w:tc>
          <w:tcPr>
            <w:tcW w:type="dxa" w:w="30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Prove parser, schema, transformation, route, ERPNext/API operation, and acknowledgment</w:t>
            </w:r>
          </w:p>
        </w:tc>
        <w:tc>
          <w:tcPr>
            <w:tcW w:type="dxa" w:w="461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Input, output, result, log/correlation, and expected comparison</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Negative/recovery</w:t>
            </w:r>
          </w:p>
        </w:tc>
        <w:tc>
          <w:tcPr>
            <w:tcW w:type="dxa" w:w="3050"/>
            <w:tcMar>
              <w:top w:w="90" w:type="dxa"/>
              <w:start w:w="120" w:type="dxa"/>
              <w:bottom w:w="90" w:type="dxa"/>
              <w:end w:w="120" w:type="dxa"/>
            </w:tcMar>
            <w:vAlign w:val="center"/>
          </w:tcPr>
          <w:p>
            <w:pPr>
              <w:spacing w:before="0" w:after="0" w:line="259" w:lineRule="auto"/>
            </w:pPr>
            <w:r>
              <w:rPr>
                <w:rFonts w:ascii="Arial" w:hAnsi="Arial" w:eastAsia="Arial"/>
                <w:color w:val="242524"/>
                <w:sz w:val="16"/>
              </w:rPr>
              <w:t>Prove reject/hold/quarantine, alerts, retries, duplicate protection, and controlled reprocessing</w:t>
            </w:r>
          </w:p>
        </w:tc>
        <w:tc>
          <w:tcPr>
            <w:tcW w:type="dxa" w:w="4610"/>
            <w:tcMar>
              <w:top w:w="90" w:type="dxa"/>
              <w:start w:w="120" w:type="dxa"/>
              <w:bottom w:w="90" w:type="dxa"/>
              <w:end w:w="120" w:type="dxa"/>
            </w:tcMar>
            <w:vAlign w:val="center"/>
          </w:tcPr>
          <w:p>
            <w:pPr>
              <w:spacing w:before="0" w:after="0" w:line="259" w:lineRule="auto"/>
            </w:pPr>
            <w:r>
              <w:rPr>
                <w:rFonts w:ascii="Arial" w:hAnsi="Arial" w:eastAsia="Arial"/>
                <w:color w:val="242524"/>
                <w:sz w:val="16"/>
              </w:rPr>
              <w:t>Failure injected; owner notified; correction and safe recovery evidenced</w:t>
            </w:r>
          </w:p>
        </w:tc>
      </w:tr>
      <w:tr>
        <w:trPr>
          <w:cantSplit w:val="true"/>
        </w:trPr>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End to end</w:t>
            </w:r>
          </w:p>
        </w:tc>
        <w:tc>
          <w:tcPr>
            <w:tcW w:type="dxa" w:w="30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Prove partner-to-business-system-to-response flow</w:t>
            </w:r>
          </w:p>
        </w:tc>
        <w:tc>
          <w:tcPr>
            <w:tcW w:type="dxa" w:w="461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Partner result, Cleo result, ERPNext/application result, acknowledgment, reconciliation</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Partner certification</w:t>
            </w:r>
          </w:p>
        </w:tc>
        <w:tc>
          <w:tcPr>
            <w:tcW w:type="dxa" w:w="3050"/>
            <w:tcMar>
              <w:top w:w="90" w:type="dxa"/>
              <w:start w:w="120" w:type="dxa"/>
              <w:bottom w:w="90" w:type="dxa"/>
              <w:end w:w="120" w:type="dxa"/>
            </w:tcMar>
            <w:vAlign w:val="center"/>
          </w:tcPr>
          <w:p>
            <w:pPr>
              <w:spacing w:before="0" w:after="0" w:line="259" w:lineRule="auto"/>
            </w:pPr>
            <w:r>
              <w:rPr>
                <w:rFonts w:ascii="Arial" w:hAnsi="Arial" w:eastAsia="Arial"/>
                <w:color w:val="242524"/>
                <w:sz w:val="16"/>
              </w:rPr>
              <w:t>Satisfy partner program</w:t>
            </w:r>
          </w:p>
        </w:tc>
        <w:tc>
          <w:tcPr>
            <w:tcW w:type="dxa" w:w="4610"/>
            <w:tcMar>
              <w:top w:w="90" w:type="dxa"/>
              <w:start w:w="120" w:type="dxa"/>
              <w:bottom w:w="90" w:type="dxa"/>
              <w:end w:w="120" w:type="dxa"/>
            </w:tcMar>
            <w:vAlign w:val="center"/>
          </w:tcPr>
          <w:p>
            <w:pPr>
              <w:spacing w:before="0" w:after="0" w:line="259" w:lineRule="auto"/>
            </w:pPr>
            <w:r>
              <w:rPr>
                <w:rFonts w:ascii="Arial" w:hAnsi="Arial" w:eastAsia="Arial"/>
                <w:color w:val="242524"/>
                <w:sz w:val="16"/>
              </w:rPr>
              <w:t>Portal/report approval, passed cases, waiver if any</w:t>
            </w:r>
          </w:p>
        </w:tc>
      </w:tr>
      <w:tr>
        <w:trPr>
          <w:cantSplit w:val="true"/>
        </w:trPr>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Business UAT</w:t>
            </w:r>
          </w:p>
        </w:tc>
        <w:tc>
          <w:tcPr>
            <w:tcW w:type="dxa" w:w="305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Prove correct business outcome and operability</w:t>
            </w:r>
          </w:p>
        </w:tc>
        <w:tc>
          <w:tcPr>
            <w:tcW w:type="dxa" w:w="461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Named tester, case, expected/actual result, screenshots/records, approval</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Production validation</w:t>
            </w:r>
          </w:p>
        </w:tc>
        <w:tc>
          <w:tcPr>
            <w:tcW w:type="dxa" w:w="3050"/>
            <w:tcMar>
              <w:top w:w="90" w:type="dxa"/>
              <w:start w:w="120" w:type="dxa"/>
              <w:bottom w:w="90" w:type="dxa"/>
              <w:end w:w="120" w:type="dxa"/>
            </w:tcMar>
            <w:vAlign w:val="center"/>
          </w:tcPr>
          <w:p>
            <w:pPr>
              <w:spacing w:before="0" w:after="0" w:line="259" w:lineRule="auto"/>
            </w:pPr>
            <w:r>
              <w:rPr>
                <w:rFonts w:ascii="Arial" w:hAnsi="Arial" w:eastAsia="Arial"/>
                <w:color w:val="242524"/>
                <w:sz w:val="16"/>
              </w:rPr>
              <w:t>Prove first live transactions and support readiness</w:t>
            </w:r>
          </w:p>
        </w:tc>
        <w:tc>
          <w:tcPr>
            <w:tcW w:type="dxa" w:w="4610"/>
            <w:tcMar>
              <w:top w:w="90" w:type="dxa"/>
              <w:start w:w="120" w:type="dxa"/>
              <w:bottom w:w="90" w:type="dxa"/>
              <w:end w:w="120" w:type="dxa"/>
            </w:tcMar>
            <w:vAlign w:val="center"/>
          </w:tcPr>
          <w:p>
            <w:pPr>
              <w:spacing w:before="0" w:after="0" w:line="259" w:lineRule="auto"/>
            </w:pPr>
            <w:r>
              <w:rPr>
                <w:rFonts w:ascii="Arial" w:hAnsi="Arial" w:eastAsia="Arial"/>
                <w:color w:val="242524"/>
                <w:sz w:val="16"/>
              </w:rPr>
              <w:t>Counts, timestamps, statuses, acknowledgment, business owner confirmation</w:t>
            </w:r>
          </w:p>
        </w:tc>
      </w:tr>
    </w:tbl>
    <w:p>
      <w:pPr>
        <w:spacing w:before="0" w:after="100"/>
      </w:pPr>
    </w:p>
    <w:p>
      <w:pPr>
        <w:pStyle w:val="Heading2"/>
        <w:keepNext/>
        <w:keepLines/>
      </w:pPr>
      <w:r>
        <w:rPr>
          <w:rFonts w:ascii="Arial" w:hAnsi="Arial" w:eastAsia="Arial"/>
          <w:b/>
          <w:color w:val="B22125"/>
          <w:sz w:val="27"/>
        </w:rPr>
        <w:t>6.2 Example acceptance criteria</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2200"/>
        <w:gridCol w:w="7160"/>
      </w:tblGrid>
      <w:tr>
        <w:trPr>
          <w:tblHeader w:val="true"/>
          <w:cantSplit w:val="true"/>
        </w:trPr>
        <w:tc>
          <w:tcPr>
            <w:tcW w:type="dxa" w:w="22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Flow</w:t>
            </w:r>
          </w:p>
        </w:tc>
        <w:tc>
          <w:tcPr>
            <w:tcW w:type="dxa" w:w="71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Business acceptance criterion</w:t>
            </w:r>
          </w:p>
        </w:tc>
      </w:tr>
      <w:tr>
        <w:trPr>
          <w:cantSplit w:val="true"/>
        </w:trPr>
        <w:tc>
          <w:tcPr>
            <w:tcW w:type="dxa" w:w="2200"/>
            <w:tcMar>
              <w:top w:w="90" w:type="dxa"/>
              <w:start w:w="120" w:type="dxa"/>
              <w:bottom w:w="90" w:type="dxa"/>
              <w:end w:w="120" w:type="dxa"/>
            </w:tcMar>
            <w:vAlign w:val="center"/>
          </w:tcPr>
          <w:p>
            <w:pPr>
              <w:spacing w:before="0" w:after="0" w:line="259" w:lineRule="auto"/>
            </w:pPr>
            <w:r>
              <w:rPr>
                <w:rFonts w:ascii="Arial" w:hAnsi="Arial" w:eastAsia="Arial"/>
                <w:color w:val="242524"/>
                <w:sz w:val="16"/>
              </w:rPr>
              <w:t>Inbound EDI order</w:t>
            </w:r>
          </w:p>
        </w:tc>
        <w:tc>
          <w:tcPr>
            <w:tcW w:type="dxa" w:w="7160"/>
            <w:tcMar>
              <w:top w:w="90" w:type="dxa"/>
              <w:start w:w="120" w:type="dxa"/>
              <w:bottom w:w="90" w:type="dxa"/>
              <w:end w:w="120" w:type="dxa"/>
            </w:tcMar>
            <w:vAlign w:val="center"/>
          </w:tcPr>
          <w:p>
            <w:pPr>
              <w:spacing w:before="0" w:after="0" w:line="259" w:lineRule="auto"/>
            </w:pPr>
            <w:r>
              <w:rPr>
                <w:rFonts w:ascii="Arial" w:hAnsi="Arial" w:eastAsia="Arial"/>
                <w:color w:val="242524"/>
                <w:sz w:val="16"/>
              </w:rPr>
              <w:t>A valid 850 creates exactly one ERPNext Sales Order with the partner PO reference, correct customer, items, UOM, price, ship-to, warehouse and requested dates within the approved processing window; an agreed acknowledgment is returned.</w:t>
            </w:r>
          </w:p>
        </w:tc>
      </w:tr>
      <w:tr>
        <w:trPr>
          <w:cantSplit w:val="true"/>
        </w:trPr>
        <w:tc>
          <w:tcPr>
            <w:tcW w:type="dxa" w:w="22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Unknown item</w:t>
            </w:r>
          </w:p>
        </w:tc>
        <w:tc>
          <w:tcPr>
            <w:tcW w:type="dxa" w:w="71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An order with an unmapped partner item does not create a fulfillable order; it is held or rejected according to design, the item-data owner is alerted, and controlled recovery does not create a duplicate.</w:t>
            </w:r>
          </w:p>
        </w:tc>
      </w:tr>
      <w:tr>
        <w:trPr>
          <w:cantSplit w:val="true"/>
        </w:trPr>
        <w:tc>
          <w:tcPr>
            <w:tcW w:type="dxa" w:w="2200"/>
            <w:tcMar>
              <w:top w:w="90" w:type="dxa"/>
              <w:start w:w="120" w:type="dxa"/>
              <w:bottom w:w="90" w:type="dxa"/>
              <w:end w:w="120" w:type="dxa"/>
            </w:tcMar>
            <w:vAlign w:val="center"/>
          </w:tcPr>
          <w:p>
            <w:pPr>
              <w:spacing w:before="0" w:after="0" w:line="259" w:lineRule="auto"/>
            </w:pPr>
            <w:r>
              <w:rPr>
                <w:rFonts w:ascii="Arial" w:hAnsi="Arial" w:eastAsia="Arial"/>
                <w:color w:val="242524"/>
                <w:sz w:val="16"/>
              </w:rPr>
              <w:t>Inventory API</w:t>
            </w:r>
          </w:p>
        </w:tc>
        <w:tc>
          <w:tcPr>
            <w:tcW w:type="dxa" w:w="7160"/>
            <w:tcMar>
              <w:top w:w="90" w:type="dxa"/>
              <w:start w:w="120" w:type="dxa"/>
              <w:bottom w:w="90" w:type="dxa"/>
              <w:end w:w="120" w:type="dxa"/>
            </w:tcMar>
            <w:vAlign w:val="center"/>
          </w:tcPr>
          <w:p>
            <w:pPr>
              <w:spacing w:before="0" w:after="0" w:line="259" w:lineRule="auto"/>
            </w:pPr>
            <w:r>
              <w:rPr>
                <w:rFonts w:ascii="Arial" w:hAnsi="Arial" w:eastAsia="Arial"/>
                <w:color w:val="242524"/>
                <w:sz w:val="16"/>
              </w:rPr>
              <w:t>Available-to-sell for approved warehouses publishes on schedule; counts match the source calculation; rate limits and partial failures retry without overstating inventory.</w:t>
            </w:r>
          </w:p>
        </w:tc>
      </w:tr>
      <w:tr>
        <w:trPr>
          <w:cantSplit w:val="true"/>
        </w:trPr>
        <w:tc>
          <w:tcPr>
            <w:tcW w:type="dxa" w:w="22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Shipment/ASN</w:t>
            </w:r>
          </w:p>
        </w:tc>
        <w:tc>
          <w:tcPr>
            <w:tcW w:type="dxa" w:w="71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The outbound 856 or API shipment contains the correct order, items, shipped quantities, packages, carrier and tracking; partner acceptance is recorded before the compliance cutoff.</w:t>
            </w:r>
          </w:p>
        </w:tc>
      </w:tr>
      <w:tr>
        <w:trPr>
          <w:cantSplit w:val="true"/>
        </w:trPr>
        <w:tc>
          <w:tcPr>
            <w:tcW w:type="dxa" w:w="2200"/>
            <w:tcMar>
              <w:top w:w="90" w:type="dxa"/>
              <w:start w:w="120" w:type="dxa"/>
              <w:bottom w:w="90" w:type="dxa"/>
              <w:end w:w="120" w:type="dxa"/>
            </w:tcMar>
            <w:vAlign w:val="center"/>
          </w:tcPr>
          <w:p>
            <w:pPr>
              <w:spacing w:before="0" w:after="0" w:line="259" w:lineRule="auto"/>
            </w:pPr>
            <w:r>
              <w:rPr>
                <w:rFonts w:ascii="Arial" w:hAnsi="Arial" w:eastAsia="Arial"/>
                <w:color w:val="242524"/>
                <w:sz w:val="16"/>
              </w:rPr>
              <w:t>Invoice</w:t>
            </w:r>
          </w:p>
        </w:tc>
        <w:tc>
          <w:tcPr>
            <w:tcW w:type="dxa" w:w="7160"/>
            <w:tcMar>
              <w:top w:w="90" w:type="dxa"/>
              <w:start w:w="120" w:type="dxa"/>
              <w:bottom w:w="90" w:type="dxa"/>
              <w:end w:w="120" w:type="dxa"/>
            </w:tcMar>
            <w:vAlign w:val="center"/>
          </w:tcPr>
          <w:p>
            <w:pPr>
              <w:spacing w:before="0" w:after="0" w:line="259" w:lineRule="auto"/>
            </w:pPr>
            <w:r>
              <w:rPr>
                <w:rFonts w:ascii="Arial" w:hAnsi="Arial" w:eastAsia="Arial"/>
                <w:color w:val="242524"/>
                <w:sz w:val="16"/>
              </w:rPr>
              <w:t>The 810 or invoice API totals match the approved Sales Invoice, including currency, tax, freight and allowances; partner acknowledgment or rejection is monitored and owned.</w:t>
            </w:r>
          </w:p>
        </w:tc>
      </w:tr>
    </w:tbl>
    <w:p>
      <w:pPr>
        <w:spacing w:before="0" w:after="100"/>
      </w:pPr>
    </w:p>
    <w:p>
      <w:pPr>
        <w:pStyle w:val="Heading2"/>
        <w:keepNext/>
        <w:keepLines/>
      </w:pPr>
      <w:r>
        <w:rPr>
          <w:rFonts w:ascii="Arial" w:hAnsi="Arial" w:eastAsia="Arial"/>
          <w:b/>
          <w:color w:val="B22125"/>
          <w:sz w:val="27"/>
        </w:rPr>
        <w:t>6.3 Mandatory negative scenarios</w:t>
      </w:r>
    </w:p>
    <w:p>
      <w:pPr>
        <w:spacing w:after="80" w:line="300" w:lineRule="auto"/>
        <w:numPr>
          <w:ilvl w:val="0"/>
          <w:numId w:val="10"/>
        </w:numPr>
      </w:pPr>
      <w:r>
        <w:rPr>
          <w:rFonts w:ascii="Arial" w:hAnsi="Arial" w:eastAsia="Arial"/>
          <w:color w:val="242524"/>
          <w:sz w:val="21"/>
        </w:rPr>
        <w:t>Invalid envelope, sender/receiver ID, message type, schema version, or signature</w:t>
      </w:r>
    </w:p>
    <w:p>
      <w:pPr>
        <w:spacing w:after="80" w:line="300" w:lineRule="auto"/>
        <w:numPr>
          <w:ilvl w:val="0"/>
          <w:numId w:val="10"/>
        </w:numPr>
      </w:pPr>
      <w:r>
        <w:rPr>
          <w:rFonts w:ascii="Arial" w:hAnsi="Arial" w:eastAsia="Arial"/>
          <w:color w:val="242524"/>
          <w:sz w:val="21"/>
        </w:rPr>
        <w:t>Missing required field; invalid code, date, numeric precision, currency, or UOM</w:t>
      </w:r>
    </w:p>
    <w:p>
      <w:pPr>
        <w:spacing w:after="80" w:line="300" w:lineRule="auto"/>
        <w:numPr>
          <w:ilvl w:val="0"/>
          <w:numId w:val="10"/>
        </w:numPr>
      </w:pPr>
      <w:r>
        <w:rPr>
          <w:rFonts w:ascii="Arial" w:hAnsi="Arial" w:eastAsia="Arial"/>
          <w:color w:val="242524"/>
          <w:sz w:val="21"/>
        </w:rPr>
        <w:t>Unknown customer/vendor, item/SKU, location, warehouse, ship-to, or cross-reference</w:t>
      </w:r>
    </w:p>
    <w:p>
      <w:pPr>
        <w:spacing w:after="80" w:line="300" w:lineRule="auto"/>
        <w:numPr>
          <w:ilvl w:val="0"/>
          <w:numId w:val="10"/>
        </w:numPr>
      </w:pPr>
      <w:r>
        <w:rPr>
          <w:rFonts w:ascii="Arial" w:hAnsi="Arial" w:eastAsia="Arial"/>
          <w:color w:val="242524"/>
          <w:sz w:val="21"/>
        </w:rPr>
        <w:t>Duplicate message/file/order, reused control number, webhook replay, or repeated API request</w:t>
      </w:r>
    </w:p>
    <w:p>
      <w:pPr>
        <w:spacing w:after="80" w:line="300" w:lineRule="auto"/>
        <w:numPr>
          <w:ilvl w:val="0"/>
          <w:numId w:val="10"/>
        </w:numPr>
      </w:pPr>
      <w:r>
        <w:rPr>
          <w:rFonts w:ascii="Arial" w:hAnsi="Arial" w:eastAsia="Arial"/>
          <w:color w:val="242524"/>
          <w:sz w:val="21"/>
        </w:rPr>
        <w:t>Out-of-order change, cancellation, shipment, invoice, or status event</w:t>
      </w:r>
    </w:p>
    <w:p>
      <w:pPr>
        <w:spacing w:after="80" w:line="300" w:lineRule="auto"/>
        <w:numPr>
          <w:ilvl w:val="0"/>
          <w:numId w:val="10"/>
        </w:numPr>
      </w:pPr>
      <w:r>
        <w:rPr>
          <w:rFonts w:ascii="Arial" w:hAnsi="Arial" w:eastAsia="Arial"/>
          <w:color w:val="242524"/>
          <w:sz w:val="21"/>
        </w:rPr>
        <w:t>Partner/API timeout, rate limit, 4xx/5xx response, authentication expiry, or certificate/key failure</w:t>
      </w:r>
    </w:p>
    <w:p>
      <w:pPr>
        <w:spacing w:after="80" w:line="300" w:lineRule="auto"/>
        <w:numPr>
          <w:ilvl w:val="0"/>
          <w:numId w:val="10"/>
        </w:numPr>
      </w:pPr>
      <w:r>
        <w:rPr>
          <w:rFonts w:ascii="Arial" w:hAnsi="Arial" w:eastAsia="Arial"/>
          <w:color w:val="242524"/>
          <w:sz w:val="21"/>
        </w:rPr>
        <w:t>ERPNext validation, permission, status-transition, record-lock, or partial-commit failure</w:t>
      </w:r>
    </w:p>
    <w:p>
      <w:pPr>
        <w:spacing w:after="80" w:line="300" w:lineRule="auto"/>
        <w:numPr>
          <w:ilvl w:val="0"/>
          <w:numId w:val="10"/>
        </w:numPr>
      </w:pPr>
      <w:r>
        <w:rPr>
          <w:rFonts w:ascii="Arial" w:hAnsi="Arial" w:eastAsia="Arial"/>
          <w:color w:val="242524"/>
          <w:sz w:val="21"/>
        </w:rPr>
        <w:t>Late/missing file, truncated payload, mismatched row/control total, or wrong environment</w:t>
      </w:r>
    </w:p>
    <w:p>
      <w:pPr>
        <w:spacing w:after="80" w:line="300" w:lineRule="auto"/>
        <w:numPr>
          <w:ilvl w:val="0"/>
          <w:numId w:val="10"/>
        </w:numPr>
      </w:pPr>
      <w:r>
        <w:rPr>
          <w:rFonts w:ascii="Arial" w:hAnsi="Arial" w:eastAsia="Arial"/>
          <w:color w:val="242524"/>
          <w:sz w:val="21"/>
        </w:rPr>
        <w:t>Alert failure, queue aging, failed retry, quarantine growth, and controlled replay after correction</w:t>
      </w:r>
    </w:p>
    <w:p>
      <w:r>
        <w:br w:type="page"/>
      </w:r>
    </w:p>
    <w:p>
      <w:pPr>
        <w:pStyle w:val="Heading1"/>
        <w:keepNext/>
        <w:keepLines/>
      </w:pPr>
      <w:r>
        <w:rPr>
          <w:rFonts w:ascii="Arial" w:hAnsi="Arial" w:eastAsia="Arial"/>
          <w:b/>
          <w:color w:val="B22125"/>
          <w:sz w:val="36"/>
        </w:rPr>
        <w:t>7. Security, privacy, and trust</w:t>
      </w:r>
    </w:p>
    <w:p>
      <w:pPr>
        <w:pStyle w:val="Heading2"/>
        <w:keepNext/>
        <w:keepLines/>
      </w:pPr>
      <w:r>
        <w:rPr>
          <w:rFonts w:ascii="Arial" w:hAnsi="Arial" w:eastAsia="Arial"/>
          <w:b/>
          <w:color w:val="B22125"/>
          <w:sz w:val="27"/>
        </w:rPr>
        <w:t>7.1 Minimum security practices</w:t>
      </w:r>
    </w:p>
    <w:p>
      <w:pPr>
        <w:spacing w:after="80" w:line="300" w:lineRule="auto"/>
        <w:numPr>
          <w:ilvl w:val="0"/>
          <w:numId w:val="10"/>
        </w:numPr>
      </w:pPr>
      <w:r>
        <w:rPr>
          <w:rFonts w:ascii="Arial" w:hAnsi="Arial" w:eastAsia="Arial"/>
          <w:color w:val="242524"/>
          <w:sz w:val="21"/>
        </w:rPr>
        <w:t>Use approved encrypted transport: AS2, SFTP, HTTPS/TLS, or a documented approved alternative.</w:t>
      </w:r>
    </w:p>
    <w:p>
      <w:pPr>
        <w:spacing w:after="80" w:line="300" w:lineRule="auto"/>
        <w:numPr>
          <w:ilvl w:val="0"/>
          <w:numId w:val="10"/>
        </w:numPr>
      </w:pPr>
      <w:r>
        <w:rPr>
          <w:rFonts w:ascii="Arial" w:hAnsi="Arial" w:eastAsia="Arial"/>
          <w:color w:val="242524"/>
          <w:sz w:val="21"/>
        </w:rPr>
        <w:t>Prefer workload or managed identity and short-lived tokens where supported. Store runtime secrets in an approved secret manager such as Azure Key Vault.</w:t>
      </w:r>
    </w:p>
    <w:p>
      <w:pPr>
        <w:spacing w:after="80" w:line="300" w:lineRule="auto"/>
        <w:numPr>
          <w:ilvl w:val="0"/>
          <w:numId w:val="10"/>
        </w:numPr>
      </w:pPr>
      <w:r>
        <w:rPr>
          <w:rFonts w:ascii="Arial" w:hAnsi="Arial" w:eastAsia="Arial"/>
          <w:color w:val="242524"/>
          <w:sz w:val="21"/>
        </w:rPr>
        <w:t>Never commit secrets, certificates, private keys, production samples, restricted audits, or customer data to GitHub or static website assets.</w:t>
      </w:r>
    </w:p>
    <w:p>
      <w:pPr>
        <w:spacing w:after="80" w:line="300" w:lineRule="auto"/>
        <w:numPr>
          <w:ilvl w:val="0"/>
          <w:numId w:val="10"/>
        </w:numPr>
      </w:pPr>
      <w:r>
        <w:rPr>
          <w:rFonts w:ascii="Arial" w:hAnsi="Arial" w:eastAsia="Arial"/>
          <w:color w:val="242524"/>
          <w:sz w:val="21"/>
        </w:rPr>
        <w:t>Separate test and production endpoints, identities, folders, credentials, maps/routes, logs, and data wherever applicable.</w:t>
      </w:r>
    </w:p>
    <w:p>
      <w:pPr>
        <w:spacing w:after="80" w:line="300" w:lineRule="auto"/>
        <w:numPr>
          <w:ilvl w:val="0"/>
          <w:numId w:val="10"/>
        </w:numPr>
      </w:pPr>
      <w:r>
        <w:rPr>
          <w:rFonts w:ascii="Arial" w:hAnsi="Arial" w:eastAsia="Arial"/>
          <w:color w:val="242524"/>
          <w:sz w:val="21"/>
        </w:rPr>
        <w:t>Grant least-privilege access by role; review production permissions and revoke access when ownership changes.</w:t>
      </w:r>
    </w:p>
    <w:p>
      <w:pPr>
        <w:spacing w:after="80" w:line="300" w:lineRule="auto"/>
        <w:numPr>
          <w:ilvl w:val="0"/>
          <w:numId w:val="10"/>
        </w:numPr>
      </w:pPr>
      <w:r>
        <w:rPr>
          <w:rFonts w:ascii="Arial" w:hAnsi="Arial" w:eastAsia="Arial"/>
          <w:color w:val="242524"/>
          <w:sz w:val="21"/>
        </w:rPr>
        <w:t>Define certificate/key/token rotation and expiry monitoring before go-live.</w:t>
      </w:r>
    </w:p>
    <w:p>
      <w:pPr>
        <w:spacing w:after="80" w:line="300" w:lineRule="auto"/>
        <w:numPr>
          <w:ilvl w:val="0"/>
          <w:numId w:val="10"/>
        </w:numPr>
      </w:pPr>
      <w:r>
        <w:rPr>
          <w:rFonts w:ascii="Arial" w:hAnsi="Arial" w:eastAsia="Arial"/>
          <w:color w:val="242524"/>
          <w:sz w:val="21"/>
        </w:rPr>
        <w:t>Minimize sensitive fields and test with synthetic or sanitized data unless an approved exception exists.</w:t>
      </w:r>
    </w:p>
    <w:p>
      <w:pPr>
        <w:spacing w:after="80" w:line="300" w:lineRule="auto"/>
        <w:numPr>
          <w:ilvl w:val="0"/>
          <w:numId w:val="10"/>
        </w:numPr>
      </w:pPr>
      <w:r>
        <w:rPr>
          <w:rFonts w:ascii="Arial" w:hAnsi="Arial" w:eastAsia="Arial"/>
          <w:color w:val="242524"/>
          <w:sz w:val="21"/>
        </w:rPr>
        <w:t>Retain and dispose of messages, logs, archives, quarantine files, and evidence according to approved business, legal, privacy, and security requirements.</w:t>
      </w:r>
    </w:p>
    <w:p>
      <w:pPr>
        <w:spacing w:after="80" w:line="300" w:lineRule="auto"/>
        <w:numPr>
          <w:ilvl w:val="0"/>
          <w:numId w:val="10"/>
        </w:numPr>
      </w:pPr>
      <w:r>
        <w:rPr>
          <w:rFonts w:ascii="Arial" w:hAnsi="Arial" w:eastAsia="Arial"/>
          <w:color w:val="242524"/>
          <w:sz w:val="21"/>
        </w:rPr>
        <w:t>Report suspected integration security issues to EDI Support without including live secrets or sensitive payloads in the initial email.</w:t>
      </w:r>
    </w:p>
    <w:p>
      <w:pPr>
        <w:pStyle w:val="Heading2"/>
        <w:keepNext/>
        <w:keepLines/>
      </w:pPr>
      <w:r>
        <w:rPr>
          <w:rFonts w:ascii="Arial" w:hAnsi="Arial" w:eastAsia="Arial"/>
          <w:b/>
          <w:color w:val="B22125"/>
          <w:sz w:val="27"/>
        </w:rPr>
        <w:t>7.2 Trust documents and compliance claims</w:t>
      </w:r>
    </w:p>
    <w:p>
      <w:pPr>
        <w:spacing w:before="160" w:after="200" w:line="276" w:lineRule="auto"/>
        <w:ind w:left="259" w:right="173"/>
        <w:shd w:fill="F1F1EF" w:val="clear"/>
        <w:pBdr>
          <w:left w:val="single" w:sz="20" w:space="10" w:color="B22125"/>
        </w:pBdr>
      </w:pPr>
      <w:r>
        <w:rPr>
          <w:rFonts w:ascii="Arial" w:hAnsi="Arial" w:eastAsia="Arial"/>
          <w:b/>
          <w:color w:val="070707"/>
          <w:sz w:val="20"/>
        </w:rPr>
        <w:t xml:space="preserve">Verification rule: </w:t>
      </w:r>
      <w:r>
        <w:rPr>
          <w:rFonts w:ascii="Arial" w:hAnsi="Arial" w:eastAsia="Arial"/>
          <w:color w:val="242524"/>
          <w:sz w:val="20"/>
        </w:rPr>
        <w:t>Do not publish a certification badge, SOC report, GDPR claim, penetration test, or other assurance statement until the evidence owner, Legal/Privacy, and Information Technology have confirmed accuracy, currency, redaction, and distribution rights.</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2400"/>
        <w:gridCol w:w="3380"/>
        <w:gridCol w:w="3580"/>
      </w:tblGrid>
      <w:tr>
        <w:trPr>
          <w:tblHeader w:val="true"/>
          <w:cantSplit w:val="true"/>
        </w:trPr>
        <w:tc>
          <w:tcPr>
            <w:tcW w:type="dxa" w:w="24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Material</w:t>
            </w:r>
          </w:p>
        </w:tc>
        <w:tc>
          <w:tcPr>
            <w:tcW w:type="dxa" w:w="338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Public site treatment</w:t>
            </w:r>
          </w:p>
        </w:tc>
        <w:tc>
          <w:tcPr>
            <w:tcW w:type="dxa" w:w="358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Controlled delivery</w:t>
            </w:r>
          </w:p>
        </w:tc>
      </w:tr>
      <w:tr>
        <w:trPr>
          <w:cantSplit w:val="true"/>
        </w:trPr>
        <w:tc>
          <w:tcPr>
            <w:tcW w:type="dxa" w:w="2400"/>
            <w:tcMar>
              <w:top w:w="90" w:type="dxa"/>
              <w:start w:w="120" w:type="dxa"/>
              <w:bottom w:w="90" w:type="dxa"/>
              <w:end w:w="120" w:type="dxa"/>
            </w:tcMar>
            <w:vAlign w:val="center"/>
          </w:tcPr>
          <w:p>
            <w:pPr>
              <w:spacing w:before="0" w:after="0" w:line="259" w:lineRule="auto"/>
            </w:pPr>
            <w:r>
              <w:rPr>
                <w:rFonts w:ascii="Arial" w:hAnsi="Arial" w:eastAsia="Arial"/>
                <w:color w:val="242524"/>
                <w:sz w:val="16"/>
              </w:rPr>
              <w:t>Approved public audit/certification file</w:t>
            </w:r>
          </w:p>
        </w:tc>
        <w:tc>
          <w:tcPr>
            <w:tcW w:type="dxa" w:w="3380"/>
            <w:tcMar>
              <w:top w:w="90" w:type="dxa"/>
              <w:start w:w="120" w:type="dxa"/>
              <w:bottom w:w="90" w:type="dxa"/>
              <w:end w:w="120" w:type="dxa"/>
            </w:tcMar>
            <w:vAlign w:val="center"/>
          </w:tcPr>
          <w:p>
            <w:pPr>
              <w:spacing w:before="0" w:after="0" w:line="259" w:lineRule="auto"/>
            </w:pPr>
            <w:r>
              <w:rPr>
                <w:rFonts w:ascii="Arial" w:hAnsi="Arial" w:eastAsia="Arial"/>
                <w:color w:val="242524"/>
                <w:sz w:val="16"/>
              </w:rPr>
              <w:t>Download may be enabled after approval and repository validation</w:t>
            </w:r>
          </w:p>
        </w:tc>
        <w:tc>
          <w:tcPr>
            <w:tcW w:type="dxa" w:w="3580"/>
            <w:tcMar>
              <w:top w:w="90" w:type="dxa"/>
              <w:start w:w="120" w:type="dxa"/>
              <w:bottom w:w="90" w:type="dxa"/>
              <w:end w:w="120" w:type="dxa"/>
            </w:tcMar>
            <w:vAlign w:val="center"/>
          </w:tcPr>
          <w:p>
            <w:pPr>
              <w:spacing w:before="0" w:after="0" w:line="259" w:lineRule="auto"/>
            </w:pPr>
            <w:r>
              <w:rPr>
                <w:rFonts w:ascii="Arial" w:hAnsi="Arial" w:eastAsia="Arial"/>
                <w:color w:val="242524"/>
                <w:sz w:val="16"/>
              </w:rPr>
              <w:t>Maintain owner, review date, scope, and approved public copy</w:t>
            </w:r>
          </w:p>
        </w:tc>
      </w:tr>
      <w:tr>
        <w:trPr>
          <w:cantSplit w:val="true"/>
        </w:trPr>
        <w:tc>
          <w:tcPr>
            <w:tcW w:type="dxa" w:w="24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Restricted audit report</w:t>
            </w:r>
          </w:p>
        </w:tc>
        <w:tc>
          <w:tcPr>
            <w:tcW w:type="dxa" w:w="338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Display request-access status; do not host publicly</w:t>
            </w:r>
          </w:p>
        </w:tc>
        <w:tc>
          <w:tcPr>
            <w:tcW w:type="dxa" w:w="358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Validate requester and purpose; NDA if required; use approved secure delivery</w:t>
            </w:r>
          </w:p>
        </w:tc>
      </w:tr>
      <w:tr>
        <w:trPr>
          <w:cantSplit w:val="true"/>
        </w:trPr>
        <w:tc>
          <w:tcPr>
            <w:tcW w:type="dxa" w:w="2400"/>
            <w:tcMar>
              <w:top w:w="90" w:type="dxa"/>
              <w:start w:w="120" w:type="dxa"/>
              <w:bottom w:w="90" w:type="dxa"/>
              <w:end w:w="120" w:type="dxa"/>
            </w:tcMar>
            <w:vAlign w:val="center"/>
          </w:tcPr>
          <w:p>
            <w:pPr>
              <w:spacing w:before="0" w:after="0" w:line="259" w:lineRule="auto"/>
            </w:pPr>
            <w:r>
              <w:rPr>
                <w:rFonts w:ascii="Arial" w:hAnsi="Arial" w:eastAsia="Arial"/>
                <w:color w:val="242524"/>
                <w:sz w:val="16"/>
              </w:rPr>
              <w:t>GDPR/privacy materials</w:t>
            </w:r>
          </w:p>
        </w:tc>
        <w:tc>
          <w:tcPr>
            <w:tcW w:type="dxa" w:w="3380"/>
            <w:tcMar>
              <w:top w:w="90" w:type="dxa"/>
              <w:start w:w="120" w:type="dxa"/>
              <w:bottom w:w="90" w:type="dxa"/>
              <w:end w:w="120" w:type="dxa"/>
            </w:tcMar>
            <w:vAlign w:val="center"/>
          </w:tcPr>
          <w:p>
            <w:pPr>
              <w:spacing w:before="0" w:after="0" w:line="259" w:lineRule="auto"/>
            </w:pPr>
            <w:r>
              <w:rPr>
                <w:rFonts w:ascii="Arial" w:hAnsi="Arial" w:eastAsia="Arial"/>
                <w:color w:val="242524"/>
                <w:sz w:val="16"/>
              </w:rPr>
              <w:t>Link the official Ultra PRO privacy notice; describe process accurately</w:t>
            </w:r>
          </w:p>
        </w:tc>
        <w:tc>
          <w:tcPr>
            <w:tcW w:type="dxa" w:w="3580"/>
            <w:tcMar>
              <w:top w:w="90" w:type="dxa"/>
              <w:start w:w="120" w:type="dxa"/>
              <w:bottom w:w="90" w:type="dxa"/>
              <w:end w:w="120" w:type="dxa"/>
            </w:tcMar>
            <w:vAlign w:val="center"/>
          </w:tcPr>
          <w:p>
            <w:pPr>
              <w:spacing w:before="0" w:after="0" w:line="259" w:lineRule="auto"/>
            </w:pPr>
            <w:r>
              <w:rPr>
                <w:rFonts w:ascii="Arial" w:hAnsi="Arial" w:eastAsia="Arial"/>
                <w:color w:val="242524"/>
                <w:sz w:val="16"/>
              </w:rPr>
              <w:t>Provide approved questionnaires or evidence; do not call GDPR a certification</w:t>
            </w:r>
          </w:p>
        </w:tc>
      </w:tr>
      <w:tr>
        <w:trPr>
          <w:cantSplit w:val="true"/>
        </w:trPr>
        <w:tc>
          <w:tcPr>
            <w:tcW w:type="dxa" w:w="24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Security assessment or penetration test</w:t>
            </w:r>
          </w:p>
        </w:tc>
        <w:tc>
          <w:tcPr>
            <w:tcW w:type="dxa" w:w="338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No findings or report published by default</w:t>
            </w:r>
          </w:p>
        </w:tc>
        <w:tc>
          <w:tcPr>
            <w:tcW w:type="dxa" w:w="358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Provide only an approved summary/report with use and retention restrictions</w:t>
            </w:r>
          </w:p>
        </w:tc>
      </w:tr>
      <w:tr>
        <w:trPr>
          <w:cantSplit w:val="true"/>
        </w:trPr>
        <w:tc>
          <w:tcPr>
            <w:tcW w:type="dxa" w:w="2400"/>
            <w:tcMar>
              <w:top w:w="90" w:type="dxa"/>
              <w:start w:w="120" w:type="dxa"/>
              <w:bottom w:w="90" w:type="dxa"/>
              <w:end w:w="120" w:type="dxa"/>
            </w:tcMar>
            <w:vAlign w:val="center"/>
          </w:tcPr>
          <w:p>
            <w:pPr>
              <w:spacing w:before="0" w:after="0" w:line="259" w:lineRule="auto"/>
            </w:pPr>
            <w:r>
              <w:rPr>
                <w:rFonts w:ascii="Arial" w:hAnsi="Arial" w:eastAsia="Arial"/>
                <w:color w:val="242524"/>
                <w:sz w:val="16"/>
              </w:rPr>
              <w:t>Continuity/recovery material</w:t>
            </w:r>
          </w:p>
        </w:tc>
        <w:tc>
          <w:tcPr>
            <w:tcW w:type="dxa" w:w="3380"/>
            <w:tcMar>
              <w:top w:w="90" w:type="dxa"/>
              <w:start w:w="120" w:type="dxa"/>
              <w:bottom w:w="90" w:type="dxa"/>
              <w:end w:w="120" w:type="dxa"/>
            </w:tcMar>
            <w:vAlign w:val="center"/>
          </w:tcPr>
          <w:p>
            <w:pPr>
              <w:spacing w:before="0" w:after="0" w:line="259" w:lineRule="auto"/>
            </w:pPr>
            <w:r>
              <w:rPr>
                <w:rFonts w:ascii="Arial" w:hAnsi="Arial" w:eastAsia="Arial"/>
                <w:color w:val="242524"/>
                <w:sz w:val="16"/>
              </w:rPr>
              <w:t>High-level control description only</w:t>
            </w:r>
          </w:p>
        </w:tc>
        <w:tc>
          <w:tcPr>
            <w:tcW w:type="dxa" w:w="3580"/>
            <w:tcMar>
              <w:top w:w="90" w:type="dxa"/>
              <w:start w:w="120" w:type="dxa"/>
              <w:bottom w:w="90" w:type="dxa"/>
              <w:end w:w="120" w:type="dxa"/>
            </w:tcMar>
            <w:vAlign w:val="center"/>
          </w:tcPr>
          <w:p>
            <w:pPr>
              <w:spacing w:before="0" w:after="0" w:line="259" w:lineRule="auto"/>
            </w:pPr>
            <w:r>
              <w:rPr>
                <w:rFonts w:ascii="Arial" w:hAnsi="Arial" w:eastAsia="Arial"/>
                <w:color w:val="242524"/>
                <w:sz w:val="16"/>
              </w:rPr>
              <w:t>Provide current approved summary when appropriate</w:t>
            </w:r>
          </w:p>
        </w:tc>
      </w:tr>
    </w:tbl>
    <w:p>
      <w:pPr>
        <w:spacing w:before="0" w:after="100"/>
      </w:pPr>
    </w:p>
    <w:p>
      <w:pPr>
        <w:pStyle w:val="Heading2"/>
        <w:keepNext/>
        <w:keepLines/>
      </w:pPr>
      <w:r>
        <w:rPr>
          <w:rFonts w:ascii="Arial" w:hAnsi="Arial" w:eastAsia="Arial"/>
          <w:b/>
          <w:color w:val="B22125"/>
          <w:sz w:val="27"/>
        </w:rPr>
        <w:t>7.3 Public privacy alignment</w:t>
      </w:r>
    </w:p>
    <w:p>
      <w:pPr>
        <w:spacing w:before="0" w:after="120" w:line="300" w:lineRule="auto"/>
      </w:pPr>
      <w:r>
        <w:rPr>
          <w:rFonts w:ascii="Arial" w:hAnsi="Arial" w:eastAsia="Arial"/>
          <w:i w:val="0"/>
          <w:color w:val="242524"/>
          <w:sz w:val="21"/>
        </w:rPr>
        <w:t xml:space="preserve">Public privacy reference: </w:t>
      </w:r>
      <w:hyperlink r:id="rId12">
        <w:r>
          <w:rPr>
            <w:color w:val="8F171B"/>
            <w:u w:val="single"/>
          </w:rPr>
          <w:t>Ultra PRO privacy policy</w:t>
        </w:r>
      </w:hyperlink>
    </w:p>
    <w:p>
      <w:pPr>
        <w:spacing w:before="0" w:after="120" w:line="300" w:lineRule="auto"/>
      </w:pPr>
      <w:r>
        <w:rPr>
          <w:rFonts w:ascii="Arial" w:hAnsi="Arial" w:eastAsia="Arial"/>
          <w:i w:val="0"/>
          <w:color w:val="242524"/>
          <w:sz w:val="21"/>
        </w:rPr>
        <w:t>The integration portal should remain a low-data entry point. It directs partners to email and Microsoft Bookings; initial messages must not include secrets or sensitive production data. Any future form, analytics, tracking, or restricted download service requires privacy and security review before deployment.</w:t>
      </w:r>
    </w:p>
    <w:p>
      <w:r>
        <w:br w:type="page"/>
      </w:r>
    </w:p>
    <w:p>
      <w:pPr>
        <w:pStyle w:val="Heading1"/>
        <w:keepNext/>
        <w:keepLines/>
      </w:pPr>
      <w:r>
        <w:rPr>
          <w:rFonts w:ascii="Arial" w:hAnsi="Arial" w:eastAsia="Arial"/>
          <w:b/>
          <w:color w:val="B22125"/>
          <w:sz w:val="36"/>
        </w:rPr>
        <w:t>8. Cutover, hypercare, and steady-state support</w:t>
      </w:r>
    </w:p>
    <w:p>
      <w:pPr>
        <w:pStyle w:val="Heading2"/>
        <w:keepNext/>
        <w:keepLines/>
      </w:pPr>
      <w:r>
        <w:rPr>
          <w:rFonts w:ascii="Arial" w:hAnsi="Arial" w:eastAsia="Arial"/>
          <w:b/>
          <w:color w:val="B22125"/>
          <w:sz w:val="27"/>
        </w:rPr>
        <w:t>8.1 Go/no-go checklist</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1700"/>
        <w:gridCol w:w="7660"/>
      </w:tblGrid>
      <w:tr>
        <w:trPr>
          <w:tblHeader w:val="true"/>
          <w:cantSplit w:val="true"/>
        </w:trPr>
        <w:tc>
          <w:tcPr>
            <w:tcW w:type="dxa" w:w="17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Area</w:t>
            </w:r>
          </w:p>
        </w:tc>
        <w:tc>
          <w:tcPr>
            <w:tcW w:type="dxa" w:w="76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Required confirmation</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Scope</w:t>
            </w:r>
          </w:p>
        </w:tc>
        <w:tc>
          <w:tcPr>
            <w:tcW w:type="dxa" w:w="7660"/>
            <w:tcMar>
              <w:top w:w="90" w:type="dxa"/>
              <w:start w:w="120" w:type="dxa"/>
              <w:bottom w:w="90" w:type="dxa"/>
              <w:end w:w="120" w:type="dxa"/>
            </w:tcMar>
            <w:vAlign w:val="center"/>
          </w:tcPr>
          <w:p>
            <w:pPr>
              <w:spacing w:before="0" w:after="0" w:line="259" w:lineRule="auto"/>
            </w:pPr>
            <w:r>
              <w:rPr>
                <w:rFonts w:ascii="Arial" w:hAnsi="Arial" w:eastAsia="Arial"/>
                <w:color w:val="242524"/>
                <w:sz w:val="16"/>
              </w:rPr>
              <w:t>Partner, flows, direction, volumes, IDs, guide versions, exclusions and acceptance criteria approved</w:t>
            </w:r>
          </w:p>
        </w:tc>
      </w:tr>
      <w:tr>
        <w:trPr>
          <w:cantSplit w:val="true"/>
        </w:trPr>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Data</w:t>
            </w:r>
          </w:p>
        </w:tc>
        <w:tc>
          <w:tcPr>
            <w:tcW w:type="dxa" w:w="76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Production customer/vendor/item/location/warehouse/UOM cross-references approved and loaded</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Security</w:t>
            </w:r>
          </w:p>
        </w:tc>
        <w:tc>
          <w:tcPr>
            <w:tcW w:type="dxa" w:w="7660"/>
            <w:tcMar>
              <w:top w:w="90" w:type="dxa"/>
              <w:start w:w="120" w:type="dxa"/>
              <w:bottom w:w="90" w:type="dxa"/>
              <w:end w:w="120" w:type="dxa"/>
            </w:tcMar>
            <w:vAlign w:val="center"/>
          </w:tcPr>
          <w:p>
            <w:pPr>
              <w:spacing w:before="0" w:after="0" w:line="259" w:lineRule="auto"/>
            </w:pPr>
            <w:r>
              <w:rPr>
                <w:rFonts w:ascii="Arial" w:hAnsi="Arial" w:eastAsia="Arial"/>
                <w:color w:val="242524"/>
                <w:sz w:val="16"/>
              </w:rPr>
              <w:t>Production identity, secrets, certificates/keys, allowlists and rotation ownership confirmed</w:t>
            </w:r>
          </w:p>
        </w:tc>
      </w:tr>
      <w:tr>
        <w:trPr>
          <w:cantSplit w:val="true"/>
        </w:trPr>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Testing</w:t>
            </w:r>
          </w:p>
        </w:tc>
        <w:tc>
          <w:tcPr>
            <w:tcW w:type="dxa" w:w="76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Functional, negative, recovery, reconciliation, certification and business UAT evidence accepted</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Operations</w:t>
            </w:r>
          </w:p>
        </w:tc>
        <w:tc>
          <w:tcPr>
            <w:tcW w:type="dxa" w:w="7660"/>
            <w:tcMar>
              <w:top w:w="90" w:type="dxa"/>
              <w:start w:w="120" w:type="dxa"/>
              <w:bottom w:w="90" w:type="dxa"/>
              <w:end w:w="120" w:type="dxa"/>
            </w:tcMar>
            <w:vAlign w:val="center"/>
          </w:tcPr>
          <w:p>
            <w:pPr>
              <w:spacing w:before="0" w:after="0" w:line="259" w:lineRule="auto"/>
            </w:pPr>
            <w:r>
              <w:rPr>
                <w:rFonts w:ascii="Arial" w:hAnsi="Arial" w:eastAsia="Arial"/>
                <w:color w:val="242524"/>
                <w:sz w:val="16"/>
              </w:rPr>
              <w:t>Monitoring, alerts, dashboards, queue aging, runbook, reprocessing and escalation proven</w:t>
            </w:r>
          </w:p>
        </w:tc>
      </w:tr>
      <w:tr>
        <w:trPr>
          <w:cantSplit w:val="true"/>
        </w:trPr>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Compliance</w:t>
            </w:r>
          </w:p>
        </w:tc>
        <w:tc>
          <w:tcPr>
            <w:tcW w:type="dxa" w:w="76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Partner SLA/chargeback clocks, acknowledgments, retention and audit evidence requirements defined</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Change</w:t>
            </w:r>
          </w:p>
        </w:tc>
        <w:tc>
          <w:tcPr>
            <w:tcW w:type="dxa" w:w="7660"/>
            <w:tcMar>
              <w:top w:w="90" w:type="dxa"/>
              <w:start w:w="120" w:type="dxa"/>
              <w:bottom w:w="90" w:type="dxa"/>
              <w:end w:w="120" w:type="dxa"/>
            </w:tcMar>
            <w:vAlign w:val="center"/>
          </w:tcPr>
          <w:p>
            <w:pPr>
              <w:spacing w:before="0" w:after="0" w:line="259" w:lineRule="auto"/>
            </w:pPr>
            <w:r>
              <w:rPr>
                <w:rFonts w:ascii="Arial" w:hAnsi="Arial" w:eastAsia="Arial"/>
                <w:color w:val="242524"/>
                <w:sz w:val="16"/>
              </w:rPr>
              <w:t>Deployment version/steps, window, approvals, freeze, communication and rollback approved</w:t>
            </w:r>
          </w:p>
        </w:tc>
      </w:tr>
      <w:tr>
        <w:trPr>
          <w:cantSplit w:val="true"/>
        </w:trPr>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People</w:t>
            </w:r>
          </w:p>
        </w:tc>
        <w:tc>
          <w:tcPr>
            <w:tcW w:type="dxa" w:w="76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Partner and Ultra PRO business, integration, application, exception, security and escalation owners available</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Hypercare</w:t>
            </w:r>
          </w:p>
        </w:tc>
        <w:tc>
          <w:tcPr>
            <w:tcW w:type="dxa" w:w="7660"/>
            <w:tcMar>
              <w:top w:w="90" w:type="dxa"/>
              <w:start w:w="120" w:type="dxa"/>
              <w:bottom w:w="90" w:type="dxa"/>
              <w:end w:w="120" w:type="dxa"/>
            </w:tcMar>
            <w:vAlign w:val="center"/>
          </w:tcPr>
          <w:p>
            <w:pPr>
              <w:spacing w:before="0" w:after="0" w:line="259" w:lineRule="auto"/>
            </w:pPr>
            <w:r>
              <w:rPr>
                <w:rFonts w:ascii="Arial" w:hAnsi="Arial" w:eastAsia="Arial"/>
                <w:color w:val="242524"/>
                <w:sz w:val="16"/>
              </w:rPr>
              <w:t>Daily review cadence, success thresholds, ticket route, known risks and exit criteria approved</w:t>
            </w:r>
          </w:p>
        </w:tc>
      </w:tr>
    </w:tbl>
    <w:p>
      <w:pPr>
        <w:spacing w:before="0" w:after="100"/>
      </w:pPr>
    </w:p>
    <w:p>
      <w:pPr>
        <w:pStyle w:val="Heading2"/>
        <w:keepNext/>
        <w:keepLines/>
      </w:pPr>
      <w:r>
        <w:rPr>
          <w:rFonts w:ascii="Arial" w:hAnsi="Arial" w:eastAsia="Arial"/>
          <w:b/>
          <w:color w:val="B22125"/>
          <w:sz w:val="27"/>
        </w:rPr>
        <w:t>8.2 Rollback triggers</w:t>
      </w:r>
    </w:p>
    <w:p>
      <w:pPr>
        <w:spacing w:after="80" w:line="300" w:lineRule="auto"/>
        <w:numPr>
          <w:ilvl w:val="0"/>
          <w:numId w:val="10"/>
        </w:numPr>
      </w:pPr>
      <w:r>
        <w:rPr>
          <w:rFonts w:ascii="Arial" w:hAnsi="Arial" w:eastAsia="Arial"/>
          <w:color w:val="242524"/>
          <w:sz w:val="21"/>
        </w:rPr>
        <w:t>Critical security, authorization, data exposure, or wrong-environment condition</w:t>
      </w:r>
    </w:p>
    <w:p>
      <w:pPr>
        <w:spacing w:after="80" w:line="300" w:lineRule="auto"/>
        <w:numPr>
          <w:ilvl w:val="0"/>
          <w:numId w:val="10"/>
        </w:numPr>
      </w:pPr>
      <w:r>
        <w:rPr>
          <w:rFonts w:ascii="Arial" w:hAnsi="Arial" w:eastAsia="Arial"/>
          <w:color w:val="242524"/>
          <w:sz w:val="21"/>
        </w:rPr>
        <w:t>Uncontrolled duplicates, partial commits, incorrect financial/fulfillment records, or corrupt master data</w:t>
      </w:r>
    </w:p>
    <w:p>
      <w:pPr>
        <w:spacing w:after="80" w:line="300" w:lineRule="auto"/>
        <w:numPr>
          <w:ilvl w:val="0"/>
          <w:numId w:val="10"/>
        </w:numPr>
      </w:pPr>
      <w:r>
        <w:rPr>
          <w:rFonts w:ascii="Arial" w:hAnsi="Arial" w:eastAsia="Arial"/>
          <w:color w:val="242524"/>
          <w:sz w:val="21"/>
        </w:rPr>
        <w:t>Material transaction loss or unexplained reconciliation variance</w:t>
      </w:r>
    </w:p>
    <w:p>
      <w:pPr>
        <w:spacing w:after="80" w:line="300" w:lineRule="auto"/>
        <w:numPr>
          <w:ilvl w:val="0"/>
          <w:numId w:val="10"/>
        </w:numPr>
      </w:pPr>
      <w:r>
        <w:rPr>
          <w:rFonts w:ascii="Arial" w:hAnsi="Arial" w:eastAsia="Arial"/>
          <w:color w:val="242524"/>
          <w:sz w:val="21"/>
        </w:rPr>
        <w:t>Sustained inability to acknowledge, ship, invoice, or meet a material partner compliance cutoff</w:t>
      </w:r>
    </w:p>
    <w:p>
      <w:pPr>
        <w:spacing w:after="80" w:line="300" w:lineRule="auto"/>
        <w:numPr>
          <w:ilvl w:val="0"/>
          <w:numId w:val="10"/>
        </w:numPr>
      </w:pPr>
      <w:r>
        <w:rPr>
          <w:rFonts w:ascii="Arial" w:hAnsi="Arial" w:eastAsia="Arial"/>
          <w:color w:val="242524"/>
          <w:sz w:val="21"/>
        </w:rPr>
        <w:t>Monitoring/recovery unavailable or support ownership absent during the validation window</w:t>
      </w:r>
    </w:p>
    <w:p>
      <w:pPr>
        <w:spacing w:after="80" w:line="300" w:lineRule="auto"/>
        <w:numPr>
          <w:ilvl w:val="0"/>
          <w:numId w:val="10"/>
        </w:numPr>
      </w:pPr>
      <w:r>
        <w:rPr>
          <w:rFonts w:ascii="Arial" w:hAnsi="Arial" w:eastAsia="Arial"/>
          <w:color w:val="242524"/>
          <w:sz w:val="21"/>
        </w:rPr>
        <w:t>Any predefined partner or change-approver stop condition</w:t>
      </w:r>
    </w:p>
    <w:p>
      <w:pPr>
        <w:spacing w:before="0" w:after="120" w:line="300" w:lineRule="auto"/>
      </w:pPr>
      <w:r>
        <w:rPr>
          <w:rFonts w:ascii="Arial" w:hAnsi="Arial" w:eastAsia="Arial"/>
          <w:i w:val="0"/>
          <w:color w:val="242524"/>
          <w:sz w:val="21"/>
        </w:rPr>
        <w:t>The rollback record states who may invoke it, technical steps, partner communications, treatment of in-flight and already-committed records, manual fallback, reconciliation, and criteria to attempt a new launch.</w:t>
      </w:r>
    </w:p>
    <w:p>
      <w:pPr>
        <w:pStyle w:val="Heading2"/>
        <w:keepNext/>
        <w:keepLines/>
      </w:pPr>
      <w:r>
        <w:rPr>
          <w:rFonts w:ascii="Arial" w:hAnsi="Arial" w:eastAsia="Arial"/>
          <w:b/>
          <w:color w:val="B22125"/>
          <w:sz w:val="27"/>
        </w:rPr>
        <w:t>8.3 Hypercare cadence</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1700"/>
        <w:gridCol w:w="7660"/>
      </w:tblGrid>
      <w:tr>
        <w:trPr>
          <w:tblHeader w:val="true"/>
          <w:cantSplit w:val="true"/>
        </w:trPr>
        <w:tc>
          <w:tcPr>
            <w:tcW w:type="dxa" w:w="17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Cadence</w:t>
            </w:r>
          </w:p>
        </w:tc>
        <w:tc>
          <w:tcPr>
            <w:tcW w:type="dxa" w:w="76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Required review</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Launch window</w:t>
            </w:r>
          </w:p>
        </w:tc>
        <w:tc>
          <w:tcPr>
            <w:tcW w:type="dxa" w:w="7660"/>
            <w:tcMar>
              <w:top w:w="90" w:type="dxa"/>
              <w:start w:w="120" w:type="dxa"/>
              <w:bottom w:w="90" w:type="dxa"/>
              <w:end w:w="120" w:type="dxa"/>
            </w:tcMar>
            <w:vAlign w:val="center"/>
          </w:tcPr>
          <w:p>
            <w:pPr>
              <w:spacing w:before="0" w:after="0" w:line="259" w:lineRule="auto"/>
            </w:pPr>
            <w:r>
              <w:rPr>
                <w:rFonts w:ascii="Arial" w:hAnsi="Arial" w:eastAsia="Arial"/>
                <w:color w:val="242524"/>
                <w:sz w:val="16"/>
              </w:rPr>
              <w:t>First transactions, acknowledgments, ERPNext/application results, counts, timestamps, alerts and partner portal status</w:t>
            </w:r>
          </w:p>
        </w:tc>
      </w:tr>
      <w:tr>
        <w:trPr>
          <w:cantSplit w:val="true"/>
        </w:trPr>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Daily</w:t>
            </w:r>
          </w:p>
        </w:tc>
        <w:tc>
          <w:tcPr>
            <w:tcW w:type="dxa" w:w="76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Success rate, failures, queue age, unresolved exceptions, retry/replay, manual interventions, partner issues, SLA/chargeback exposure</w:t>
            </w:r>
          </w:p>
        </w:tc>
      </w:tr>
      <w:tr>
        <w:trPr>
          <w:cantSplit w:val="true"/>
        </w:trPr>
        <w:tc>
          <w:tcPr>
            <w:tcW w:type="dxa" w:w="1700"/>
            <w:tcMar>
              <w:top w:w="90" w:type="dxa"/>
              <w:start w:w="120" w:type="dxa"/>
              <w:bottom w:w="90" w:type="dxa"/>
              <w:end w:w="120" w:type="dxa"/>
            </w:tcMar>
            <w:vAlign w:val="center"/>
          </w:tcPr>
          <w:p>
            <w:pPr>
              <w:spacing w:before="0" w:after="0" w:line="259" w:lineRule="auto"/>
            </w:pPr>
            <w:r>
              <w:rPr>
                <w:rFonts w:ascii="Arial" w:hAnsi="Arial" w:eastAsia="Arial"/>
                <w:color w:val="242524"/>
                <w:sz w:val="16"/>
              </w:rPr>
              <w:t>Midpoint</w:t>
            </w:r>
          </w:p>
        </w:tc>
        <w:tc>
          <w:tcPr>
            <w:tcW w:type="dxa" w:w="7660"/>
            <w:tcMar>
              <w:top w:w="90" w:type="dxa"/>
              <w:start w:w="120" w:type="dxa"/>
              <w:bottom w:w="90" w:type="dxa"/>
              <w:end w:w="120" w:type="dxa"/>
            </w:tcMar>
            <w:vAlign w:val="center"/>
          </w:tcPr>
          <w:p>
            <w:pPr>
              <w:spacing w:before="0" w:after="0" w:line="259" w:lineRule="auto"/>
            </w:pPr>
            <w:r>
              <w:rPr>
                <w:rFonts w:ascii="Arial" w:hAnsi="Arial" w:eastAsia="Arial"/>
                <w:color w:val="242524"/>
                <w:sz w:val="16"/>
              </w:rPr>
              <w:t>Trend, threshold tuning, known defects, business outcomes, support readiness, certificate/token concerns, scope drift</w:t>
            </w:r>
          </w:p>
        </w:tc>
      </w:tr>
      <w:tr>
        <w:trPr>
          <w:cantSplit w:val="true"/>
        </w:trPr>
        <w:tc>
          <w:tcPr>
            <w:tcW w:type="dxa" w:w="17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Exit review</w:t>
            </w:r>
          </w:p>
        </w:tc>
        <w:tc>
          <w:tcPr>
            <w:tcW w:type="dxa" w:w="76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Exit thresholds, open risk acceptance, runbook/access/contact completeness, KPI baseline, support handoff and lessons learned</w:t>
            </w:r>
          </w:p>
        </w:tc>
      </w:tr>
    </w:tbl>
    <w:p>
      <w:pPr>
        <w:spacing w:before="0" w:after="100"/>
      </w:pPr>
    </w:p>
    <w:p>
      <w:pPr>
        <w:pStyle w:val="Heading2"/>
        <w:keepNext/>
        <w:keepLines/>
      </w:pPr>
      <w:r>
        <w:rPr>
          <w:rFonts w:ascii="Arial" w:hAnsi="Arial" w:eastAsia="Arial"/>
          <w:b/>
          <w:color w:val="B22125"/>
          <w:sz w:val="27"/>
        </w:rPr>
        <w:t>8.4 Support route</w:t>
      </w:r>
    </w:p>
    <w:p>
      <w:pPr>
        <w:spacing w:before="0" w:after="120" w:line="300" w:lineRule="auto"/>
      </w:pPr>
      <w:r>
        <w:rPr>
          <w:rFonts w:ascii="Arial" w:hAnsi="Arial" w:eastAsia="Arial"/>
          <w:i w:val="0"/>
          <w:color w:val="242524"/>
          <w:sz w:val="21"/>
        </w:rPr>
        <w:t>Steady-state partner and internal support begins with edisupport@ultrapro.com. The support record should include partner, environment, flow/document/API/file, message or correlation ID, UTC and local timestamp, business impact, expected vs. actual result, and safe evidence. Do not include credentials or restricted payload data in ordinary email.</w:t>
      </w:r>
    </w:p>
    <w:p>
      <w:r>
        <w:br w:type="page"/>
      </w:r>
    </w:p>
    <w:p>
      <w:pPr>
        <w:pStyle w:val="Heading1"/>
        <w:keepNext/>
        <w:keepLines/>
      </w:pPr>
      <w:r>
        <w:rPr>
          <w:rFonts w:ascii="Arial" w:hAnsi="Arial" w:eastAsia="Arial"/>
          <w:b/>
          <w:color w:val="B22125"/>
          <w:sz w:val="36"/>
        </w:rPr>
        <w:t>9. Metrics and service management</w:t>
      </w:r>
    </w:p>
    <w:p>
      <w:pPr>
        <w:spacing w:before="0" w:after="120" w:line="300" w:lineRule="auto"/>
      </w:pPr>
      <w:r>
        <w:rPr>
          <w:rFonts w:ascii="Arial" w:hAnsi="Arial" w:eastAsia="Arial"/>
          <w:i w:val="0"/>
          <w:color w:val="242524"/>
          <w:sz w:val="21"/>
        </w:rPr>
        <w:t>Targets are partner- and flow-specific. The implementation record must replace each placeholder before production when the metric is material.</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2000"/>
        <w:gridCol w:w="4500"/>
        <w:gridCol w:w="2860"/>
      </w:tblGrid>
      <w:tr>
        <w:trPr>
          <w:tblHeader w:val="true"/>
          <w:cantSplit w:val="true"/>
        </w:trPr>
        <w:tc>
          <w:tcPr>
            <w:tcW w:type="dxa" w:w="20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Metric</w:t>
            </w:r>
          </w:p>
        </w:tc>
        <w:tc>
          <w:tcPr>
            <w:tcW w:type="dxa" w:w="45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Definition</w:t>
            </w:r>
          </w:p>
        </w:tc>
        <w:tc>
          <w:tcPr>
            <w:tcW w:type="dxa" w:w="28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Target owner / placeholder</w:t>
            </w:r>
          </w:p>
        </w:tc>
      </w:tr>
      <w:tr>
        <w:trPr>
          <w:cantSplit w:val="true"/>
        </w:trPr>
        <w:tc>
          <w:tcPr>
            <w:tcW w:type="dxa" w:w="2000"/>
            <w:tcMar>
              <w:top w:w="90" w:type="dxa"/>
              <w:start w:w="120" w:type="dxa"/>
              <w:bottom w:w="90" w:type="dxa"/>
              <w:end w:w="120" w:type="dxa"/>
            </w:tcMar>
            <w:vAlign w:val="center"/>
          </w:tcPr>
          <w:p>
            <w:pPr>
              <w:spacing w:before="0" w:after="0" w:line="259" w:lineRule="auto"/>
            </w:pPr>
            <w:r>
              <w:rPr>
                <w:rFonts w:ascii="Arial" w:hAnsi="Arial" w:eastAsia="Arial"/>
                <w:color w:val="242524"/>
                <w:sz w:val="15"/>
              </w:rPr>
              <w:t>Technical success rate</w:t>
            </w:r>
          </w:p>
        </w:tc>
        <w:tc>
          <w:tcPr>
            <w:tcW w:type="dxa" w:w="4500"/>
            <w:tcMar>
              <w:top w:w="90" w:type="dxa"/>
              <w:start w:w="120" w:type="dxa"/>
              <w:bottom w:w="90" w:type="dxa"/>
              <w:end w:w="120" w:type="dxa"/>
            </w:tcMar>
            <w:vAlign w:val="center"/>
          </w:tcPr>
          <w:p>
            <w:pPr>
              <w:spacing w:before="0" w:after="0" w:line="259" w:lineRule="auto"/>
            </w:pPr>
            <w:r>
              <w:rPr>
                <w:rFonts w:ascii="Arial" w:hAnsi="Arial" w:eastAsia="Arial"/>
                <w:color w:val="242524"/>
                <w:sz w:val="15"/>
              </w:rPr>
              <w:t>Messages/files/API calls processed without technical failure ÷ total received/sent</w:t>
            </w:r>
          </w:p>
        </w:tc>
        <w:tc>
          <w:tcPr>
            <w:tcW w:type="dxa" w:w="2860"/>
            <w:tcMar>
              <w:top w:w="90" w:type="dxa"/>
              <w:start w:w="120" w:type="dxa"/>
              <w:bottom w:w="90" w:type="dxa"/>
              <w:end w:w="120" w:type="dxa"/>
            </w:tcMar>
            <w:vAlign w:val="center"/>
          </w:tcPr>
          <w:p>
            <w:pPr>
              <w:spacing w:before="0" w:after="0" w:line="259" w:lineRule="auto"/>
            </w:pPr>
            <w:r>
              <w:rPr>
                <w:rFonts w:ascii="Arial" w:hAnsi="Arial" w:eastAsia="Arial"/>
                <w:color w:val="242524"/>
                <w:sz w:val="15"/>
              </w:rPr>
              <w:t>Integration owner - set per flow</w:t>
            </w:r>
          </w:p>
        </w:tc>
      </w:tr>
      <w:tr>
        <w:trPr>
          <w:cantSplit w:val="true"/>
        </w:trPr>
        <w:tc>
          <w:tcPr>
            <w:tcW w:type="dxa" w:w="20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acceptance rate</w:t>
            </w:r>
          </w:p>
        </w:tc>
        <w:tc>
          <w:tcPr>
            <w:tcW w:type="dxa" w:w="4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Transactions accepted into the intended business state ÷ technically valid transactions</w:t>
            </w:r>
          </w:p>
        </w:tc>
        <w:tc>
          <w:tcPr>
            <w:tcW w:type="dxa" w:w="28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owner - set per flow</w:t>
            </w:r>
          </w:p>
        </w:tc>
      </w:tr>
      <w:tr>
        <w:trPr>
          <w:cantSplit w:val="true"/>
        </w:trPr>
        <w:tc>
          <w:tcPr>
            <w:tcW w:type="dxa" w:w="2000"/>
            <w:tcMar>
              <w:top w:w="90" w:type="dxa"/>
              <w:start w:w="120" w:type="dxa"/>
              <w:bottom w:w="90" w:type="dxa"/>
              <w:end w:w="120" w:type="dxa"/>
            </w:tcMar>
            <w:vAlign w:val="center"/>
          </w:tcPr>
          <w:p>
            <w:pPr>
              <w:spacing w:before="0" w:after="0" w:line="259" w:lineRule="auto"/>
            </w:pPr>
            <w:r>
              <w:rPr>
                <w:rFonts w:ascii="Arial" w:hAnsi="Arial" w:eastAsia="Arial"/>
                <w:color w:val="242524"/>
                <w:sz w:val="15"/>
              </w:rPr>
              <w:t>Acknowledgment timeliness</w:t>
            </w:r>
          </w:p>
        </w:tc>
        <w:tc>
          <w:tcPr>
            <w:tcW w:type="dxa" w:w="4500"/>
            <w:tcMar>
              <w:top w:w="90" w:type="dxa"/>
              <w:start w:w="120" w:type="dxa"/>
              <w:bottom w:w="90" w:type="dxa"/>
              <w:end w:w="120" w:type="dxa"/>
            </w:tcMar>
            <w:vAlign w:val="center"/>
          </w:tcPr>
          <w:p>
            <w:pPr>
              <w:spacing w:before="0" w:after="0" w:line="259" w:lineRule="auto"/>
            </w:pPr>
            <w:r>
              <w:rPr>
                <w:rFonts w:ascii="Arial" w:hAnsi="Arial" w:eastAsia="Arial"/>
                <w:color w:val="242524"/>
                <w:sz w:val="15"/>
              </w:rPr>
              <w:t>Time from receipt/send to required 997/999/855/partner response</w:t>
            </w:r>
          </w:p>
        </w:tc>
        <w:tc>
          <w:tcPr>
            <w:tcW w:type="dxa" w:w="2860"/>
            <w:tcMar>
              <w:top w:w="90" w:type="dxa"/>
              <w:start w:w="120" w:type="dxa"/>
              <w:bottom w:w="90" w:type="dxa"/>
              <w:end w:w="120" w:type="dxa"/>
            </w:tcMar>
            <w:vAlign w:val="center"/>
          </w:tcPr>
          <w:p>
            <w:pPr>
              <w:spacing w:before="0" w:after="0" w:line="259" w:lineRule="auto"/>
            </w:pPr>
            <w:r>
              <w:rPr>
                <w:rFonts w:ascii="Arial" w:hAnsi="Arial" w:eastAsia="Arial"/>
                <w:color w:val="242524"/>
                <w:sz w:val="15"/>
              </w:rPr>
              <w:t>Partner + integration owner - contract/guide</w:t>
            </w:r>
          </w:p>
        </w:tc>
      </w:tr>
      <w:tr>
        <w:trPr>
          <w:cantSplit w:val="true"/>
        </w:trPr>
        <w:tc>
          <w:tcPr>
            <w:tcW w:type="dxa" w:w="20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End-to-end latency</w:t>
            </w:r>
          </w:p>
        </w:tc>
        <w:tc>
          <w:tcPr>
            <w:tcW w:type="dxa" w:w="4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Partner event to committed ERPNext/application result or published response</w:t>
            </w:r>
          </w:p>
        </w:tc>
        <w:tc>
          <w:tcPr>
            <w:tcW w:type="dxa" w:w="28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owner - acceptance criterion</w:t>
            </w:r>
          </w:p>
        </w:tc>
      </w:tr>
      <w:tr>
        <w:trPr>
          <w:cantSplit w:val="true"/>
        </w:trPr>
        <w:tc>
          <w:tcPr>
            <w:tcW w:type="dxa" w:w="2000"/>
            <w:tcMar>
              <w:top w:w="90" w:type="dxa"/>
              <w:start w:w="120" w:type="dxa"/>
              <w:bottom w:w="90" w:type="dxa"/>
              <w:end w:w="120" w:type="dxa"/>
            </w:tcMar>
            <w:vAlign w:val="center"/>
          </w:tcPr>
          <w:p>
            <w:pPr>
              <w:spacing w:before="0" w:after="0" w:line="259" w:lineRule="auto"/>
            </w:pPr>
            <w:r>
              <w:rPr>
                <w:rFonts w:ascii="Arial" w:hAnsi="Arial" w:eastAsia="Arial"/>
                <w:color w:val="242524"/>
                <w:sz w:val="15"/>
              </w:rPr>
              <w:t>Exception age</w:t>
            </w:r>
          </w:p>
        </w:tc>
        <w:tc>
          <w:tcPr>
            <w:tcW w:type="dxa" w:w="4500"/>
            <w:tcMar>
              <w:top w:w="90" w:type="dxa"/>
              <w:start w:w="120" w:type="dxa"/>
              <w:bottom w:w="90" w:type="dxa"/>
              <w:end w:w="120" w:type="dxa"/>
            </w:tcMar>
            <w:vAlign w:val="center"/>
          </w:tcPr>
          <w:p>
            <w:pPr>
              <w:spacing w:before="0" w:after="0" w:line="259" w:lineRule="auto"/>
            </w:pPr>
            <w:r>
              <w:rPr>
                <w:rFonts w:ascii="Arial" w:hAnsi="Arial" w:eastAsia="Arial"/>
                <w:color w:val="242524"/>
                <w:sz w:val="15"/>
              </w:rPr>
              <w:t>Time open by severity and owning department</w:t>
            </w:r>
          </w:p>
        </w:tc>
        <w:tc>
          <w:tcPr>
            <w:tcW w:type="dxa" w:w="2860"/>
            <w:tcMar>
              <w:top w:w="90" w:type="dxa"/>
              <w:start w:w="120" w:type="dxa"/>
              <w:bottom w:w="90" w:type="dxa"/>
              <w:end w:w="120" w:type="dxa"/>
            </w:tcMar>
            <w:vAlign w:val="center"/>
          </w:tcPr>
          <w:p>
            <w:pPr>
              <w:spacing w:before="0" w:after="0" w:line="259" w:lineRule="auto"/>
            </w:pPr>
            <w:r>
              <w:rPr>
                <w:rFonts w:ascii="Arial" w:hAnsi="Arial" w:eastAsia="Arial"/>
                <w:color w:val="242524"/>
                <w:sz w:val="15"/>
              </w:rPr>
              <w:t>Department owner - service target</w:t>
            </w:r>
          </w:p>
        </w:tc>
      </w:tr>
      <w:tr>
        <w:trPr>
          <w:cantSplit w:val="true"/>
        </w:trPr>
        <w:tc>
          <w:tcPr>
            <w:tcW w:type="dxa" w:w="20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Reconciliation variance</w:t>
            </w:r>
          </w:p>
        </w:tc>
        <w:tc>
          <w:tcPr>
            <w:tcW w:type="dxa" w:w="4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Difference between expected input/output/acknowledgment/business-record counts or values</w:t>
            </w:r>
          </w:p>
        </w:tc>
        <w:tc>
          <w:tcPr>
            <w:tcW w:type="dxa" w:w="28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Integration + Finance/Ops - zero unexplained</w:t>
            </w:r>
          </w:p>
        </w:tc>
      </w:tr>
      <w:tr>
        <w:trPr>
          <w:cantSplit w:val="true"/>
        </w:trPr>
        <w:tc>
          <w:tcPr>
            <w:tcW w:type="dxa" w:w="2000"/>
            <w:tcMar>
              <w:top w:w="90" w:type="dxa"/>
              <w:start w:w="120" w:type="dxa"/>
              <w:bottom w:w="90" w:type="dxa"/>
              <w:end w:w="120" w:type="dxa"/>
            </w:tcMar>
            <w:vAlign w:val="center"/>
          </w:tcPr>
          <w:p>
            <w:pPr>
              <w:spacing w:before="0" w:after="0" w:line="259" w:lineRule="auto"/>
            </w:pPr>
            <w:r>
              <w:rPr>
                <w:rFonts w:ascii="Arial" w:hAnsi="Arial" w:eastAsia="Arial"/>
                <w:color w:val="242524"/>
                <w:sz w:val="15"/>
              </w:rPr>
              <w:t>Manual interventions</w:t>
            </w:r>
          </w:p>
        </w:tc>
        <w:tc>
          <w:tcPr>
            <w:tcW w:type="dxa" w:w="4500"/>
            <w:tcMar>
              <w:top w:w="90" w:type="dxa"/>
              <w:start w:w="120" w:type="dxa"/>
              <w:bottom w:w="90" w:type="dxa"/>
              <w:end w:w="120" w:type="dxa"/>
            </w:tcMar>
            <w:vAlign w:val="center"/>
          </w:tcPr>
          <w:p>
            <w:pPr>
              <w:spacing w:before="0" w:after="0" w:line="259" w:lineRule="auto"/>
            </w:pPr>
            <w:r>
              <w:rPr>
                <w:rFonts w:ascii="Arial" w:hAnsi="Arial" w:eastAsia="Arial"/>
                <w:color w:val="242524"/>
                <w:sz w:val="15"/>
              </w:rPr>
              <w:t>Count/time of manual exports, corrections, replay and portal work</w:t>
            </w:r>
          </w:p>
        </w:tc>
        <w:tc>
          <w:tcPr>
            <w:tcW w:type="dxa" w:w="2860"/>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 owner - trend and retired-work goal</w:t>
            </w:r>
          </w:p>
        </w:tc>
      </w:tr>
      <w:tr>
        <w:trPr>
          <w:cantSplit w:val="true"/>
        </w:trPr>
        <w:tc>
          <w:tcPr>
            <w:tcW w:type="dxa" w:w="20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Chargeback/compliance exposure</w:t>
            </w:r>
          </w:p>
        </w:tc>
        <w:tc>
          <w:tcPr>
            <w:tcW w:type="dxa" w:w="4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Incidents or dollars tied to late/invalid documents or partner rules</w:t>
            </w:r>
          </w:p>
        </w:tc>
        <w:tc>
          <w:tcPr>
            <w:tcW w:type="dxa" w:w="28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Business/Finance owner - escalation threshold</w:t>
            </w:r>
          </w:p>
        </w:tc>
      </w:tr>
      <w:tr>
        <w:trPr>
          <w:cantSplit w:val="true"/>
        </w:trPr>
        <w:tc>
          <w:tcPr>
            <w:tcW w:type="dxa" w:w="2000"/>
            <w:tcMar>
              <w:top w:w="90" w:type="dxa"/>
              <w:start w:w="120" w:type="dxa"/>
              <w:bottom w:w="90" w:type="dxa"/>
              <w:end w:w="120" w:type="dxa"/>
            </w:tcMar>
            <w:vAlign w:val="center"/>
          </w:tcPr>
          <w:p>
            <w:pPr>
              <w:spacing w:before="0" w:after="0" w:line="259" w:lineRule="auto"/>
            </w:pPr>
            <w:r>
              <w:rPr>
                <w:rFonts w:ascii="Arial" w:hAnsi="Arial" w:eastAsia="Arial"/>
                <w:color w:val="242524"/>
                <w:sz w:val="15"/>
              </w:rPr>
              <w:t>Recovery effectiveness</w:t>
            </w:r>
          </w:p>
        </w:tc>
        <w:tc>
          <w:tcPr>
            <w:tcW w:type="dxa" w:w="4500"/>
            <w:tcMar>
              <w:top w:w="90" w:type="dxa"/>
              <w:start w:w="120" w:type="dxa"/>
              <w:bottom w:w="90" w:type="dxa"/>
              <w:end w:w="120" w:type="dxa"/>
            </w:tcMar>
            <w:vAlign w:val="center"/>
          </w:tcPr>
          <w:p>
            <w:pPr>
              <w:spacing w:before="0" w:after="0" w:line="259" w:lineRule="auto"/>
            </w:pPr>
            <w:r>
              <w:rPr>
                <w:rFonts w:ascii="Arial" w:hAnsi="Arial" w:eastAsia="Arial"/>
                <w:color w:val="242524"/>
                <w:sz w:val="15"/>
              </w:rPr>
              <w:t>Successful controlled recoveries without duplicate or residual business error</w:t>
            </w:r>
          </w:p>
        </w:tc>
        <w:tc>
          <w:tcPr>
            <w:tcW w:type="dxa" w:w="2860"/>
            <w:tcMar>
              <w:top w:w="90" w:type="dxa"/>
              <w:start w:w="120" w:type="dxa"/>
              <w:bottom w:w="90" w:type="dxa"/>
              <w:end w:w="120" w:type="dxa"/>
            </w:tcMar>
            <w:vAlign w:val="center"/>
          </w:tcPr>
          <w:p>
            <w:pPr>
              <w:spacing w:before="0" w:after="0" w:line="259" w:lineRule="auto"/>
            </w:pPr>
            <w:r>
              <w:rPr>
                <w:rFonts w:ascii="Arial" w:hAnsi="Arial" w:eastAsia="Arial"/>
                <w:color w:val="242524"/>
                <w:sz w:val="15"/>
              </w:rPr>
              <w:t>Integration owner - 100% safe recovery</w:t>
            </w:r>
          </w:p>
        </w:tc>
      </w:tr>
      <w:tr>
        <w:trPr>
          <w:cantSplit w:val="true"/>
        </w:trPr>
        <w:tc>
          <w:tcPr>
            <w:tcW w:type="dxa" w:w="20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Availability</w:t>
            </w:r>
          </w:p>
        </w:tc>
        <w:tc>
          <w:tcPr>
            <w:tcW w:type="dxa" w:w="450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Time flow is capable of meeting the agreed service schedule</w:t>
            </w:r>
          </w:p>
        </w:tc>
        <w:tc>
          <w:tcPr>
            <w:tcW w:type="dxa" w:w="2860"/>
            <w:shd w:fill="F8F8F7" w:val="clear"/>
            <w:tcMar>
              <w:top w:w="90" w:type="dxa"/>
              <w:start w:w="120" w:type="dxa"/>
              <w:bottom w:w="90" w:type="dxa"/>
              <w:end w:w="120" w:type="dxa"/>
            </w:tcMar>
            <w:vAlign w:val="center"/>
          </w:tcPr>
          <w:p>
            <w:pPr>
              <w:spacing w:before="0" w:after="0" w:line="259" w:lineRule="auto"/>
            </w:pPr>
            <w:r>
              <w:rPr>
                <w:rFonts w:ascii="Arial" w:hAnsi="Arial" w:eastAsia="Arial"/>
                <w:color w:val="242524"/>
                <w:sz w:val="15"/>
              </w:rPr>
              <w:t>Service owner - define support window</w:t>
            </w:r>
          </w:p>
        </w:tc>
      </w:tr>
    </w:tbl>
    <w:p>
      <w:pPr>
        <w:spacing w:before="0" w:after="100"/>
      </w:pPr>
    </w:p>
    <w:p>
      <w:pPr>
        <w:pStyle w:val="Heading2"/>
        <w:keepNext/>
        <w:keepLines/>
      </w:pPr>
      <w:r>
        <w:rPr>
          <w:rFonts w:ascii="Arial" w:hAnsi="Arial" w:eastAsia="Arial"/>
          <w:b/>
          <w:color w:val="B22125"/>
          <w:sz w:val="27"/>
        </w:rPr>
        <w:t>9.1 Review cadence</w:t>
      </w:r>
    </w:p>
    <w:p>
      <w:pPr>
        <w:spacing w:after="80" w:line="300" w:lineRule="auto"/>
        <w:numPr>
          <w:ilvl w:val="0"/>
          <w:numId w:val="10"/>
        </w:numPr>
      </w:pPr>
      <w:r>
        <w:rPr>
          <w:rFonts w:ascii="Arial" w:hAnsi="Arial" w:eastAsia="Arial"/>
          <w:color w:val="242524"/>
          <w:sz w:val="21"/>
        </w:rPr>
        <w:t>Hypercare: daily review with named owners and dated actions.</w:t>
      </w:r>
    </w:p>
    <w:p>
      <w:pPr>
        <w:spacing w:after="80" w:line="300" w:lineRule="auto"/>
        <w:numPr>
          <w:ilvl w:val="0"/>
          <w:numId w:val="10"/>
        </w:numPr>
      </w:pPr>
      <w:r>
        <w:rPr>
          <w:rFonts w:ascii="Arial" w:hAnsi="Arial" w:eastAsia="Arial"/>
          <w:color w:val="242524"/>
          <w:sz w:val="21"/>
        </w:rPr>
        <w:t>Steady state: exception and SLA review at the agreed operational cadence.</w:t>
      </w:r>
    </w:p>
    <w:p>
      <w:pPr>
        <w:spacing w:after="80" w:line="300" w:lineRule="auto"/>
        <w:numPr>
          <w:ilvl w:val="0"/>
          <w:numId w:val="10"/>
        </w:numPr>
      </w:pPr>
      <w:r>
        <w:rPr>
          <w:rFonts w:ascii="Arial" w:hAnsi="Arial" w:eastAsia="Arial"/>
          <w:color w:val="242524"/>
          <w:sz w:val="21"/>
        </w:rPr>
        <w:t>Monthly/quarterly as material: success, latency, manual work, incidents, recurring root cause, partner changes, certificate/token expiry, and improvement backlog.</w:t>
      </w:r>
    </w:p>
    <w:p>
      <w:pPr>
        <w:spacing w:after="80" w:line="300" w:lineRule="auto"/>
        <w:numPr>
          <w:ilvl w:val="0"/>
          <w:numId w:val="10"/>
        </w:numPr>
      </w:pPr>
      <w:r>
        <w:rPr>
          <w:rFonts w:ascii="Arial" w:hAnsi="Arial" w:eastAsia="Arial"/>
          <w:color w:val="242524"/>
          <w:sz w:val="21"/>
        </w:rPr>
        <w:t>Before any material partner guide, API version, ERPNext process, master-data, or platform change: impact analysis, regression plan, approval, deployment, and rollback.</w:t>
      </w:r>
    </w:p>
    <w:p>
      <w:r>
        <w:br w:type="page"/>
      </w:r>
    </w:p>
    <w:p>
      <w:pPr>
        <w:pStyle w:val="Heading1"/>
        <w:keepNext/>
        <w:keepLines/>
      </w:pPr>
      <w:r>
        <w:rPr>
          <w:rFonts w:ascii="Arial" w:hAnsi="Arial" w:eastAsia="Arial"/>
          <w:b/>
          <w:color w:val="B22125"/>
          <w:sz w:val="36"/>
        </w:rPr>
        <w:t>Appendix A - Partner intake record</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3180"/>
        <w:gridCol w:w="6180"/>
      </w:tblGrid>
      <w:tr>
        <w:trPr>
          <w:tblHeader w:val="true"/>
          <w:cantSplit w:val="true"/>
        </w:trPr>
        <w:tc>
          <w:tcPr>
            <w:tcW w:type="dxa" w:w="318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Field</w:t>
            </w:r>
          </w:p>
        </w:tc>
        <w:tc>
          <w:tcPr>
            <w:tcW w:type="dxa" w:w="618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Partner / project response</w:t>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Company and partner role</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Ultra PRO business sponsor</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Partner business and technical contacts</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Requested business outcome / manual work to retire</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Target certification and go-live windows</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Lane(s): X12/EDI, API/marketplace, managed file transfer</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Transactions, API objects, or files and direction</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Implementation guide / API specification / schema version</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Estimated average and peak volume</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Preferred transport and authentication</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Test environment and certification program</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Material SLA, compliance, chargeback, or cutoff requirements</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Customer/vendor/item/location/warehouse/UOM dependencies</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Exception and escalation contacts</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Dependencies, assumptions, exclusions, and risks</w:t>
            </w:r>
          </w:p>
        </w:tc>
        <w:tc>
          <w:tcPr>
            <w:tcW w:type="dxa" w:w="618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bl>
    <w:p>
      <w:pPr>
        <w:spacing w:before="0" w:after="100"/>
      </w:pPr>
    </w:p>
    <w:p>
      <w:r>
        <w:br w:type="page"/>
      </w:r>
    </w:p>
    <w:p>
      <w:pPr>
        <w:pStyle w:val="Heading1"/>
        <w:keepNext/>
        <w:keepLines/>
      </w:pPr>
      <w:r>
        <w:rPr>
          <w:rFonts w:ascii="Arial" w:hAnsi="Arial" w:eastAsia="Arial"/>
          <w:b/>
          <w:color w:val="B22125"/>
          <w:sz w:val="36"/>
        </w:rPr>
        <w:t>Appendix B - Mapping and rule checklist</w:t>
      </w:r>
    </w:p>
    <w:p>
      <w:pPr>
        <w:spacing w:after="80" w:line="300" w:lineRule="auto"/>
        <w:numPr>
          <w:ilvl w:val="0"/>
          <w:numId w:val="10"/>
        </w:numPr>
      </w:pPr>
      <w:r>
        <w:rPr>
          <w:rFonts w:ascii="Arial" w:hAnsi="Arial" w:eastAsia="Arial"/>
          <w:color w:val="242524"/>
          <w:sz w:val="21"/>
        </w:rPr>
        <w:t>Envelope, sender/receiver, partner/account, message/document/object, and environment identifiers</w:t>
      </w:r>
    </w:p>
    <w:p>
      <w:pPr>
        <w:spacing w:after="80" w:line="300" w:lineRule="auto"/>
        <w:numPr>
          <w:ilvl w:val="0"/>
          <w:numId w:val="10"/>
        </w:numPr>
      </w:pPr>
      <w:r>
        <w:rPr>
          <w:rFonts w:ascii="Arial" w:hAnsi="Arial" w:eastAsia="Arial"/>
          <w:color w:val="242524"/>
          <w:sz w:val="21"/>
        </w:rPr>
        <w:t>Business key, partner PO/reference, control number, file ID, correlation ID, idempotency key, and duplicate window</w:t>
      </w:r>
    </w:p>
    <w:p>
      <w:pPr>
        <w:spacing w:after="80" w:line="300" w:lineRule="auto"/>
        <w:numPr>
          <w:ilvl w:val="0"/>
          <w:numId w:val="10"/>
        </w:numPr>
      </w:pPr>
      <w:r>
        <w:rPr>
          <w:rFonts w:ascii="Arial" w:hAnsi="Arial" w:eastAsia="Arial"/>
          <w:color w:val="242524"/>
          <w:sz w:val="21"/>
        </w:rPr>
        <w:t>Customer/vendor, ship-to/bill-to, item/SKU/UPC, location, warehouse, carrier/service, UOM/case pack, currency and code cross-references</w:t>
      </w:r>
    </w:p>
    <w:p>
      <w:pPr>
        <w:spacing w:after="80" w:line="300" w:lineRule="auto"/>
        <w:numPr>
          <w:ilvl w:val="0"/>
          <w:numId w:val="10"/>
        </w:numPr>
      </w:pPr>
      <w:r>
        <w:rPr>
          <w:rFonts w:ascii="Arial" w:hAnsi="Arial" w:eastAsia="Arial"/>
          <w:color w:val="242524"/>
          <w:sz w:val="21"/>
        </w:rPr>
        <w:t>Required/conditional fields, data types, lengths, code lists, precision, rounding, date/time zone, null/default behavior</w:t>
      </w:r>
    </w:p>
    <w:p>
      <w:pPr>
        <w:spacing w:after="80" w:line="300" w:lineRule="auto"/>
        <w:numPr>
          <w:ilvl w:val="0"/>
          <w:numId w:val="10"/>
        </w:numPr>
      </w:pPr>
      <w:r>
        <w:rPr>
          <w:rFonts w:ascii="Arial" w:hAnsi="Arial" w:eastAsia="Arial"/>
          <w:color w:val="242524"/>
          <w:sz w:val="21"/>
        </w:rPr>
        <w:t>Order/change/cancel/ship/invoice/return/settlement status and sequencing rules</w:t>
      </w:r>
    </w:p>
    <w:p>
      <w:pPr>
        <w:spacing w:after="80" w:line="300" w:lineRule="auto"/>
        <w:numPr>
          <w:ilvl w:val="0"/>
          <w:numId w:val="10"/>
        </w:numPr>
      </w:pPr>
      <w:r>
        <w:rPr>
          <w:rFonts w:ascii="Arial" w:hAnsi="Arial" w:eastAsia="Arial"/>
          <w:color w:val="242524"/>
          <w:sz w:val="21"/>
        </w:rPr>
        <w:t>Inventory available-to-sell calculation, warehouse scope, safety stock, schedule and stale-data behavior</w:t>
      </w:r>
    </w:p>
    <w:p>
      <w:pPr>
        <w:spacing w:after="80" w:line="300" w:lineRule="auto"/>
        <w:numPr>
          <w:ilvl w:val="0"/>
          <w:numId w:val="10"/>
        </w:numPr>
      </w:pPr>
      <w:r>
        <w:rPr>
          <w:rFonts w:ascii="Arial" w:hAnsi="Arial" w:eastAsia="Arial"/>
          <w:color w:val="242524"/>
          <w:sz w:val="21"/>
        </w:rPr>
        <w:t>Item/catalog ownership, create/update/correction path, portal fallback, prerequisites for accepting orders</w:t>
      </w:r>
    </w:p>
    <w:p>
      <w:pPr>
        <w:spacing w:after="80" w:line="300" w:lineRule="auto"/>
        <w:numPr>
          <w:ilvl w:val="0"/>
          <w:numId w:val="10"/>
        </w:numPr>
      </w:pPr>
      <w:r>
        <w:rPr>
          <w:rFonts w:ascii="Arial" w:hAnsi="Arial" w:eastAsia="Arial"/>
          <w:color w:val="242524"/>
          <w:sz w:val="21"/>
        </w:rPr>
        <w:t>Acknowledgment type, business response, error detail, timing, correlation and aging</w:t>
      </w:r>
    </w:p>
    <w:p>
      <w:pPr>
        <w:spacing w:after="80" w:line="300" w:lineRule="auto"/>
        <w:numPr>
          <w:ilvl w:val="0"/>
          <w:numId w:val="10"/>
        </w:numPr>
      </w:pPr>
      <w:r>
        <w:rPr>
          <w:rFonts w:ascii="Arial" w:hAnsi="Arial" w:eastAsia="Arial"/>
          <w:color w:val="242524"/>
          <w:sz w:val="21"/>
        </w:rPr>
        <w:t>Validation, hold/reject/quarantine, business exception routing, correction authority, retry and controlled replay</w:t>
      </w:r>
    </w:p>
    <w:p>
      <w:pPr>
        <w:spacing w:after="80" w:line="300" w:lineRule="auto"/>
        <w:numPr>
          <w:ilvl w:val="0"/>
          <w:numId w:val="10"/>
        </w:numPr>
      </w:pPr>
      <w:r>
        <w:rPr>
          <w:rFonts w:ascii="Arial" w:hAnsi="Arial" w:eastAsia="Arial"/>
          <w:color w:val="242524"/>
          <w:sz w:val="21"/>
        </w:rPr>
        <w:t>Archive, retention, encryption, masking, log fields, alert contents and restricted-data handling</w:t>
      </w:r>
    </w:p>
    <w:p>
      <w:pPr>
        <w:spacing w:after="80" w:line="300" w:lineRule="auto"/>
        <w:numPr>
          <w:ilvl w:val="0"/>
          <w:numId w:val="10"/>
        </w:numPr>
      </w:pPr>
      <w:r>
        <w:rPr>
          <w:rFonts w:ascii="Arial" w:hAnsi="Arial" w:eastAsia="Arial"/>
          <w:color w:val="242524"/>
          <w:sz w:val="21"/>
        </w:rPr>
        <w:t>Reconciliation counts/totals, expected vs. actual evidence, manual fallback and manual-work retirement</w:t>
      </w:r>
    </w:p>
    <w:p>
      <w:r>
        <w:br w:type="page"/>
      </w:r>
    </w:p>
    <w:p>
      <w:pPr>
        <w:pStyle w:val="Heading1"/>
        <w:keepNext/>
        <w:keepLines/>
      </w:pPr>
      <w:r>
        <w:rPr>
          <w:rFonts w:ascii="Arial" w:hAnsi="Arial" w:eastAsia="Arial"/>
          <w:b/>
          <w:color w:val="B22125"/>
          <w:sz w:val="36"/>
        </w:rPr>
        <w:t>Appendix C - UAT evidence record</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3000"/>
        <w:gridCol w:w="6360"/>
      </w:tblGrid>
      <w:tr>
        <w:trPr>
          <w:tblHeader w:val="true"/>
          <w:cantSplit w:val="true"/>
        </w:trPr>
        <w:tc>
          <w:tcPr>
            <w:tcW w:type="dxa" w:w="30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Field</w:t>
            </w:r>
          </w:p>
        </w:tc>
        <w:tc>
          <w:tcPr>
            <w:tcW w:type="dxa" w:w="63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Record</w:t>
            </w:r>
          </w:p>
        </w:tc>
      </w:tr>
      <w:tr>
        <w:trPr>
          <w:cantSplit w:val="true"/>
        </w:trPr>
        <w:tc>
          <w:tcPr>
            <w:tcW w:type="dxa" w:w="30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Case ID and business scenario</w:t>
            </w:r>
          </w:p>
        </w:tc>
        <w:tc>
          <w:tcPr>
            <w:tcW w:type="dxa" w:w="63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0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Flow / document / object / file</w:t>
            </w:r>
          </w:p>
        </w:tc>
        <w:tc>
          <w:tcPr>
            <w:tcW w:type="dxa" w:w="63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0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Preconditions and master data</w:t>
            </w:r>
          </w:p>
        </w:tc>
        <w:tc>
          <w:tcPr>
            <w:tcW w:type="dxa" w:w="63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0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Expected business result</w:t>
            </w:r>
          </w:p>
        </w:tc>
        <w:tc>
          <w:tcPr>
            <w:tcW w:type="dxa" w:w="63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0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Actual result and identifiers</w:t>
            </w:r>
          </w:p>
        </w:tc>
        <w:tc>
          <w:tcPr>
            <w:tcW w:type="dxa" w:w="63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0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Partner/Cleo/ERPNext evidence location</w:t>
            </w:r>
          </w:p>
        </w:tc>
        <w:tc>
          <w:tcPr>
            <w:tcW w:type="dxa" w:w="63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0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Exception/recovery exercised</w:t>
            </w:r>
          </w:p>
        </w:tc>
        <w:tc>
          <w:tcPr>
            <w:tcW w:type="dxa" w:w="63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0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Tester, date, environment</w:t>
            </w:r>
          </w:p>
        </w:tc>
        <w:tc>
          <w:tcPr>
            <w:tcW w:type="dxa" w:w="63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0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Pass/fail and defect reference</w:t>
            </w:r>
          </w:p>
        </w:tc>
        <w:tc>
          <w:tcPr>
            <w:tcW w:type="dxa" w:w="63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r>
        <w:trPr>
          <w:cantSplit w:val="true"/>
        </w:trPr>
        <w:tc>
          <w:tcPr>
            <w:tcW w:type="dxa" w:w="30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t>Business owner approval</w:t>
            </w:r>
          </w:p>
        </w:tc>
        <w:tc>
          <w:tcPr>
            <w:tcW w:type="dxa" w:w="63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7"/>
              </w:rPr>
            </w:r>
          </w:p>
        </w:tc>
      </w:tr>
    </w:tbl>
    <w:p>
      <w:pPr>
        <w:spacing w:before="0" w:after="100"/>
      </w:pPr>
    </w:p>
    <w:p>
      <w:r>
        <w:br w:type="page"/>
      </w:r>
    </w:p>
    <w:p>
      <w:pPr>
        <w:pStyle w:val="Heading1"/>
        <w:keepNext/>
        <w:keepLines/>
      </w:pPr>
      <w:r>
        <w:rPr>
          <w:rFonts w:ascii="Arial" w:hAnsi="Arial" w:eastAsia="Arial"/>
          <w:b/>
          <w:color w:val="B22125"/>
          <w:sz w:val="36"/>
        </w:rPr>
        <w:t>Appendix D - Go/no-go and hypercare record</w:t>
      </w:r>
    </w:p>
    <w:tbl>
      <w:tblPr>
        <w:tblStyle w:val="TableGrid"/>
        <w:tblW w:type="dxa" w:w="9360"/>
        <w:tblLayout w:type="fixed"/>
        <w:tblLook w:firstColumn="1" w:firstRow="1" w:lastColumn="0" w:lastRow="0" w:noHBand="0" w:noVBand="1" w:val="04A0"/>
        <w:jc w:val="left"/>
        <w:tblBorders>
          <w:top w:val="single" w:sz="6" w:color="C4C4C0"/>
          <w:left w:val="single" w:sz="6" w:color="C4C4C0"/>
          <w:bottom w:val="single" w:sz="6" w:color="C4C4C0"/>
          <w:right w:val="single" w:sz="6" w:color="C4C4C0"/>
          <w:insideH w:val="single" w:sz="6" w:color="C4C4C0"/>
          <w:insideV w:val="single" w:sz="6" w:color="C4C4C0"/>
        </w:tblBorders>
        <w:tblInd w:w="120" w:type="dxa"/>
      </w:tblPr>
      <w:tblGrid>
        <w:gridCol w:w="4800"/>
        <w:gridCol w:w="1500"/>
        <w:gridCol w:w="3060"/>
      </w:tblGrid>
      <w:tr>
        <w:trPr>
          <w:tblHeader w:val="true"/>
          <w:cantSplit w:val="true"/>
        </w:trPr>
        <w:tc>
          <w:tcPr>
            <w:tcW w:type="dxa" w:w="48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Decision item</w:t>
            </w:r>
          </w:p>
        </w:tc>
        <w:tc>
          <w:tcPr>
            <w:tcW w:type="dxa" w:w="150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Owner</w:t>
            </w:r>
          </w:p>
        </w:tc>
        <w:tc>
          <w:tcPr>
            <w:tcW w:type="dxa" w:w="3060"/>
            <w:shd w:fill="070707" w:val="clear"/>
            <w:tcMar>
              <w:top w:w="90" w:type="dxa"/>
              <w:start w:w="120" w:type="dxa"/>
              <w:bottom w:w="90" w:type="dxa"/>
              <w:end w:w="120" w:type="dxa"/>
            </w:tcMar>
            <w:vAlign w:val="center"/>
          </w:tcPr>
          <w:p>
            <w:pPr>
              <w:spacing w:before="0" w:after="0" w:line="252" w:lineRule="auto"/>
            </w:pPr>
            <w:r>
              <w:rPr>
                <w:rFonts w:ascii="Arial" w:hAnsi="Arial" w:eastAsia="Arial"/>
                <w:b/>
                <w:color w:val="FFFFFF"/>
                <w:sz w:val="16"/>
              </w:rPr>
              <w:t>Status / evidence</w:t>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Scope, guide versions, flow list and acceptance criteria approved</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Production endpoints, IDs, credentials, certificates/keys and allowlists validated</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Production master data and cross-references approved</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Technical, negative, recovery, reconciliation and certification tests passed</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Business UAT approved; critical/high defects closed</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Monitoring, alerts, queue aging, runbook and support access verified</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Partner SLA/compliance clocks and exception ownership confirmed</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Deployment sequence, version, window and freeze approved</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Rollback triggers, authority, steps, communication and data treatment approved</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Launch and hypercare owners available; communications sent</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Final go/no-go decision and timestamp</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r>
        <w:trPr>
          <w:cantSplit w:val="true"/>
        </w:trPr>
        <w:tc>
          <w:tcPr>
            <w:tcW w:type="dxa" w:w="48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t>Hypercare exit decision, KPI baseline and steady-state handoff</w:t>
            </w:r>
          </w:p>
        </w:tc>
        <w:tc>
          <w:tcPr>
            <w:tcW w:type="dxa" w:w="150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c>
          <w:tcPr>
            <w:tcW w:type="dxa" w:w="3060"/>
            <w:shd w:fill="FFFFFF" w:val="clear"/>
            <w:tcMar>
              <w:top w:w="90" w:type="dxa"/>
              <w:start w:w="120" w:type="dxa"/>
              <w:bottom w:w="90" w:type="dxa"/>
              <w:end w:w="120" w:type="dxa"/>
            </w:tcMar>
            <w:vAlign w:val="center"/>
          </w:tcPr>
          <w:p>
            <w:pPr>
              <w:spacing w:before="0" w:after="0" w:line="259" w:lineRule="auto"/>
            </w:pPr>
            <w:r>
              <w:rPr>
                <w:rFonts w:ascii="Arial" w:hAnsi="Arial" w:eastAsia="Arial"/>
                <w:color w:val="242524"/>
                <w:sz w:val="16"/>
              </w:rPr>
            </w:r>
          </w:p>
        </w:tc>
      </w:tr>
    </w:tbl>
    <w:p>
      <w:pPr>
        <w:spacing w:before="0" w:after="100"/>
      </w:pPr>
    </w:p>
    <w:p>
      <w:r>
        <w:br w:type="page"/>
      </w:r>
    </w:p>
    <w:p>
      <w:pPr>
        <w:pStyle w:val="Heading1"/>
        <w:keepNext/>
        <w:keepLines/>
      </w:pPr>
      <w:r>
        <w:rPr>
          <w:rFonts w:ascii="Arial" w:hAnsi="Arial" w:eastAsia="Arial"/>
          <w:b/>
          <w:color w:val="B22125"/>
          <w:sz w:val="36"/>
        </w:rPr>
        <w:t>Appendix E - Partner quick start</w:t>
      </w:r>
    </w:p>
    <w:p>
      <w:pPr>
        <w:spacing w:before="160" w:after="200" w:line="276" w:lineRule="auto"/>
        <w:ind w:left="259" w:right="173"/>
        <w:shd w:fill="F1F1EF" w:val="clear"/>
        <w:pBdr>
          <w:left w:val="single" w:sz="20" w:space="10" w:color="B22125"/>
        </w:pBdr>
      </w:pPr>
      <w:r>
        <w:rPr>
          <w:rFonts w:ascii="Arial" w:hAnsi="Arial" w:eastAsia="Arial"/>
          <w:b/>
          <w:color w:val="070707"/>
          <w:sz w:val="20"/>
        </w:rPr>
        <w:t xml:space="preserve">Start: </w:t>
      </w:r>
      <w:r>
        <w:rPr>
          <w:rFonts w:ascii="Arial" w:hAnsi="Arial" w:eastAsia="Arial"/>
          <w:color w:val="242524"/>
          <w:sz w:val="20"/>
        </w:rPr>
        <w:t>Email edisupport@ultrapro.com with your company, partner role, business and technical contacts, desired date, integration lane, flows, and a current guide/specification. Or schedule the EDI/API Integration service through Ultra PRO IT Microsoft Bookings.</w:t>
      </w:r>
    </w:p>
    <w:p>
      <w:pPr>
        <w:pStyle w:val="Heading2"/>
        <w:keepNext/>
        <w:keepLines/>
      </w:pPr>
      <w:r>
        <w:rPr>
          <w:rFonts w:ascii="Arial" w:hAnsi="Arial" w:eastAsia="Arial"/>
          <w:b/>
          <w:color w:val="B22125"/>
          <w:sz w:val="27"/>
        </w:rPr>
        <w:t>What to send in the first email</w:t>
      </w:r>
    </w:p>
    <w:p>
      <w:pPr>
        <w:spacing w:after="80" w:line="300" w:lineRule="auto"/>
        <w:numPr>
          <w:ilvl w:val="0"/>
          <w:numId w:val="10"/>
        </w:numPr>
      </w:pPr>
      <w:r>
        <w:rPr>
          <w:rFonts w:ascii="Arial" w:hAnsi="Arial" w:eastAsia="Arial"/>
          <w:color w:val="242524"/>
          <w:sz w:val="21"/>
        </w:rPr>
        <w:t>Company, partner role, Ultra PRO relationship, business owner, technical contact, and escalation contact</w:t>
      </w:r>
    </w:p>
    <w:p>
      <w:pPr>
        <w:spacing w:after="80" w:line="300" w:lineRule="auto"/>
        <w:numPr>
          <w:ilvl w:val="0"/>
          <w:numId w:val="10"/>
        </w:numPr>
      </w:pPr>
      <w:r>
        <w:rPr>
          <w:rFonts w:ascii="Arial" w:hAnsi="Arial" w:eastAsia="Arial"/>
          <w:color w:val="242524"/>
          <w:sz w:val="21"/>
        </w:rPr>
        <w:t>Implementation guide, OpenAPI specification, schema, or safe public documentation link</w:t>
      </w:r>
    </w:p>
    <w:p>
      <w:pPr>
        <w:spacing w:after="80" w:line="300" w:lineRule="auto"/>
        <w:numPr>
          <w:ilvl w:val="0"/>
          <w:numId w:val="10"/>
        </w:numPr>
      </w:pPr>
      <w:r>
        <w:rPr>
          <w:rFonts w:ascii="Arial" w:hAnsi="Arial" w:eastAsia="Arial"/>
          <w:color w:val="242524"/>
          <w:sz w:val="21"/>
        </w:rPr>
        <w:t>Transactions, API objects, or files; direction; estimated volume; desired certification and go-live windows</w:t>
      </w:r>
    </w:p>
    <w:p>
      <w:pPr>
        <w:spacing w:after="80" w:line="300" w:lineRule="auto"/>
        <w:numPr>
          <w:ilvl w:val="0"/>
          <w:numId w:val="10"/>
        </w:numPr>
      </w:pPr>
      <w:r>
        <w:rPr>
          <w:rFonts w:ascii="Arial" w:hAnsi="Arial" w:eastAsia="Arial"/>
          <w:color w:val="242524"/>
          <w:sz w:val="21"/>
        </w:rPr>
        <w:t>Preferred AS2, SFTP, HTTPS/API, or other approved transport and test environment availability</w:t>
      </w:r>
    </w:p>
    <w:p>
      <w:pPr>
        <w:spacing w:after="80" w:line="300" w:lineRule="auto"/>
        <w:numPr>
          <w:ilvl w:val="0"/>
          <w:numId w:val="10"/>
        </w:numPr>
      </w:pPr>
      <w:r>
        <w:rPr>
          <w:rFonts w:ascii="Arial" w:hAnsi="Arial" w:eastAsia="Arial"/>
          <w:color w:val="242524"/>
          <w:sz w:val="21"/>
        </w:rPr>
        <w:t>Non-sensitive identifiers and readiness dependencies; do not send secrets or production payloads</w:t>
      </w:r>
    </w:p>
    <w:p>
      <w:pPr>
        <w:pStyle w:val="Heading2"/>
        <w:keepNext/>
        <w:keepLines/>
      </w:pPr>
      <w:r>
        <w:rPr>
          <w:rFonts w:ascii="Arial" w:hAnsi="Arial" w:eastAsia="Arial"/>
          <w:b/>
          <w:color w:val="B22125"/>
          <w:sz w:val="27"/>
        </w:rPr>
        <w:t>Typical planning ranges</w:t>
      </w:r>
    </w:p>
    <w:p>
      <w:pPr>
        <w:spacing w:before="0" w:after="120" w:line="300" w:lineRule="auto"/>
      </w:pPr>
      <w:r>
        <w:rPr>
          <w:rFonts w:ascii="Arial" w:hAnsi="Arial" w:eastAsia="Arial"/>
          <w:i w:val="0"/>
          <w:color w:val="242524"/>
          <w:sz w:val="21"/>
        </w:rPr>
        <w:t>Focused file/API: 4-6 weeks. Standard EDI onboarding: 6-10 weeks. Multi-flow programs: 10-16+ weeks. A committed schedule follows discovery and depends on scope, master data, security, partner certification, test readiness, and business UAT availability.</w:t>
      </w:r>
    </w:p>
    <w:p>
      <w:pPr>
        <w:pStyle w:val="Heading2"/>
        <w:keepNext/>
        <w:keepLines/>
      </w:pPr>
      <w:r>
        <w:rPr>
          <w:rFonts w:ascii="Arial" w:hAnsi="Arial" w:eastAsia="Arial"/>
          <w:b/>
          <w:color w:val="B22125"/>
          <w:sz w:val="27"/>
        </w:rPr>
        <w:t>Reference links</w:t>
      </w:r>
    </w:p>
    <w:p>
      <w:pPr>
        <w:spacing w:after="80"/>
      </w:pPr>
      <w:hyperlink r:id="rId13">
        <w:r>
          <w:rPr>
            <w:color w:val="8F171B"/>
            <w:u w:val="single"/>
          </w:rPr>
          <w:t>Ultra PRO partner integration email</w:t>
        </w:r>
      </w:hyperlink>
    </w:p>
    <w:p>
      <w:pPr>
        <w:spacing w:after="80"/>
      </w:pPr>
      <w:hyperlink r:id="rId12">
        <w:r>
          <w:rPr>
            <w:color w:val="8F171B"/>
            <w:u w:val="single"/>
          </w:rPr>
          <w:t>Ultra PRO public privacy policy</w:t>
        </w:r>
      </w:hyperlink>
    </w:p>
    <w:p>
      <w:pPr>
        <w:spacing w:after="80"/>
      </w:pPr>
      <w:hyperlink r:id="rId14">
        <w:r>
          <w:rPr>
            <w:color w:val="8F171B"/>
            <w:u w:val="single"/>
          </w:rPr>
          <w:t>Ultra PRO website</w:t>
        </w:r>
      </w:hyperlink>
    </w:p>
    <w:p>
      <w:pPr>
        <w:spacing w:after="80"/>
      </w:pPr>
      <w:hyperlink r:id="rId15">
        <w:r>
          <w:rPr>
            <w:color w:val="8F171B"/>
            <w:u w:val="single"/>
          </w:rPr>
          <w:t>Microsoft Bookings</w:t>
        </w:r>
      </w:hyperlink>
    </w:p>
    <w:p>
      <w:pPr>
        <w:spacing w:before="160" w:after="200" w:line="276" w:lineRule="auto"/>
        <w:ind w:left="259" w:right="173"/>
        <w:shd w:fill="F1F1EF" w:val="clear"/>
        <w:pBdr>
          <w:left w:val="single" w:sz="20" w:space="10" w:color="B22125"/>
        </w:pBdr>
      </w:pPr>
      <w:r>
        <w:rPr>
          <w:rFonts w:ascii="Arial" w:hAnsi="Arial" w:eastAsia="Arial"/>
          <w:b/>
          <w:color w:val="070707"/>
          <w:sz w:val="20"/>
        </w:rPr>
        <w:t xml:space="preserve">Controlled updates: </w:t>
      </w:r>
      <w:r>
        <w:rPr>
          <w:rFonts w:ascii="Arial" w:hAnsi="Arial" w:eastAsia="Arial"/>
          <w:color w:val="242524"/>
          <w:sz w:val="20"/>
        </w:rPr>
        <w:t>This workflow is a living standard. Partner-specific scope, owners, dates, SLAs, transaction sets, item flows, and technical details belong in the implementation record and must be approved through the applicable gate.</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color w:val="656665"/>
        <w:sz w:val="15"/>
      </w:rPr>
      <w:t xml:space="preserve">Partner-ready controlled workflow  •  Owner: Information Technology / EDI Support  •  </w:t>
    </w:r>
    <w:r>
      <w:rPr>
        <w:rFonts w:ascii="Arial" w:hAnsi="Arial" w:eastAsia="Arial"/>
        <w:color w:val="656665"/>
        <w:sz w:val="16"/>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0" w:lineRule="exact"/>
    </w:pPr>
    <w:r>
      <w:rPr>
        <w:rFonts w:ascii="Arial" w:hAnsi="Arial" w:eastAsia="Arial"/>
        <w:color w:val="FFFFFF"/>
        <w:sz w:val="2"/>
      </w:rPr>
    </w:r>
  </w:p>
  <w:tbl>
    <w:tblPr>
      <w:tblW w:type="dxa" w:w="9360"/>
      <w:jc w:val="left"/>
      <w:tblLayout w:type="fixed"/>
      <w:tblLook w:firstColumn="1" w:firstRow="1" w:lastColumn="0" w:lastRow="0" w:noHBand="0" w:noVBand="1" w:val="04A0"/>
      <w:tblInd w:w="0" w:type="dxa"/>
      <w:tblBorders>
        <w:top w:val="single" w:sz="0" w:color="070707"/>
        <w:left w:val="single" w:sz="0" w:color="070707"/>
        <w:bottom w:val="single" w:sz="0" w:color="070707"/>
        <w:right w:val="single" w:sz="0" w:color="070707"/>
        <w:insideH w:val="single" w:sz="0" w:color="070707"/>
        <w:insideV w:val="single" w:sz="0" w:color="070707"/>
      </w:tblBorders>
    </w:tblPr>
    <w:tblGrid>
      <w:gridCol w:w="1700"/>
      <w:gridCol w:w="7660"/>
    </w:tblGrid>
    <w:tr>
      <w:trPr>
        <w:cantSplit w:val="true"/>
        <w:trHeight w:val="662" w:hRule="exact"/>
        <w:tblHeader w:val="true"/>
      </w:trPr>
      <w:tc>
        <w:tcPr>
          <w:tcW w:type="dxa" w:w="1700"/>
          <w:tcMar>
            <w:top w:w="20" w:type="dxa"/>
            <w:start w:w="80" w:type="dxa"/>
            <w:bottom w:w="20" w:type="dxa"/>
            <w:end w:w="80" w:type="dxa"/>
          </w:tcMar>
          <w:vAlign w:val="center"/>
          <w:shd w:fill="070707" w:val="clear"/>
        </w:tcPr>
        <w:p>
          <w:pPr>
            <w:spacing w:before="0" w:after="0"/>
          </w:pPr>
          <w:r>
            <w:drawing>
              <wp:inline xmlns:a="http://schemas.openxmlformats.org/drawingml/2006/main" xmlns:pic="http://schemas.openxmlformats.org/drawingml/2006/picture">
                <wp:extent cx="777240" cy="310896"/>
                <wp:docPr id="1" name="Picture 1" descr="Ultra PRO logo" title="Ultra PRO logo"/>
                <wp:cNvGraphicFramePr>
                  <a:graphicFrameLocks noChangeAspect="1"/>
                </wp:cNvGraphicFramePr>
                <a:graphic>
                  <a:graphicData uri="http://schemas.openxmlformats.org/drawingml/2006/picture">
                    <pic:pic>
                      <pic:nvPicPr>
                        <pic:cNvPr id="0" name="Logo-UP-Mimecast.png"/>
                        <pic:cNvPicPr/>
                      </pic:nvPicPr>
                      <pic:blipFill>
                        <a:blip r:embed="rId1"/>
                        <a:stretch>
                          <a:fillRect/>
                        </a:stretch>
                      </pic:blipFill>
                      <pic:spPr>
                        <a:xfrm>
                          <a:off x="0" y="0"/>
                          <a:ext cx="777240" cy="310896"/>
                        </a:xfrm>
                        <a:prstGeom prst="rect"/>
                      </pic:spPr>
                    </pic:pic>
                  </a:graphicData>
                </a:graphic>
              </wp:inline>
            </w:drawing>
          </w:r>
        </w:p>
      </w:tc>
      <w:tc>
        <w:tcPr>
          <w:tcW w:type="dxa" w:w="7660"/>
          <w:tcMar>
            <w:top w:w="20" w:type="dxa"/>
            <w:start w:w="80" w:type="dxa"/>
            <w:bottom w:w="20" w:type="dxa"/>
            <w:end w:w="80" w:type="dxa"/>
          </w:tcMar>
          <w:vAlign w:val="center"/>
          <w:shd w:fill="070707" w:val="clear"/>
        </w:tcPr>
        <w:p>
          <w:pPr>
            <w:spacing w:before="0" w:after="0"/>
            <w:jc w:val="left"/>
          </w:pPr>
          <w:r>
            <w:rPr>
              <w:rFonts w:ascii="Arial" w:hAnsi="Arial" w:eastAsia="Arial"/>
              <w:b/>
              <w:color w:val="FFFFFF"/>
              <w:sz w:val="16"/>
            </w:rPr>
            <w:t>EDI / API INTEGRATION ONBOARDING WORKFLOW</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multilevel"/>
    <w:lvl w:ilvl="0">
      <w:start w:val="1"/>
      <w:numFmt w:val="bullet"/>
      <w:lvlText w:val="•"/>
      <w:lvlJc w:val="left"/>
      <w:pPr>
        <w:tabs>
          <w:tab w:val="num" w:pos="540"/>
        </w:tabs>
        <w:ind w:left="540" w:hanging="270"/>
        <w:spacing w:after="80" w:line="300" w:lineRule="auto"/>
      </w:pPr>
      <w:rPr>
        <w:rFonts w:ascii="Arial" w:hAnsi="Arial"/>
      </w:rPr>
    </w:lvl>
    <w:lvl w:ilvl="1">
      <w:start w:val="1"/>
      <w:numFmt w:val="bullet"/>
      <w:lvlText w:val="•"/>
      <w:lvlJc w:val="left"/>
      <w:pPr>
        <w:tabs>
          <w:tab w:val="num" w:pos="900"/>
        </w:tabs>
        <w:ind w:left="900" w:hanging="270"/>
        <w:spacing w:after="80" w:line="300" w:lineRule="auto"/>
      </w:pPr>
      <w:rPr>
        <w:rFonts w:ascii="Arial" w:hAnsi="Arial"/>
      </w:rPr>
    </w:lvl>
    <w:lvl w:ilvl="2">
      <w:start w:val="1"/>
      <w:numFmt w:val="bullet"/>
      <w:lvlText w:val="•"/>
      <w:lvlJc w:val="left"/>
      <w:pPr>
        <w:tabs>
          <w:tab w:val="num" w:pos="1260"/>
        </w:tabs>
        <w:ind w:left="1260" w:hanging="270"/>
        <w:spacing w:after="80" w:line="300" w:lineRule="auto"/>
      </w:pPr>
      <w:rPr>
        <w:rFonts w:ascii="Arial" w:hAnsi="Arial"/>
      </w:rPr>
    </w:lvl>
  </w:abstractNum>
  <w:num w:numId="10">
    <w:abstractNumId w:val="9"/>
  </w:num>
  <w:abstractNum w:abstractNumId="10">
    <w:multiLevelType w:val="multilevel"/>
    <w:lvl w:ilvl="0">
      <w:start w:val="1"/>
      <w:numFmt w:val="decimal"/>
      <w:lvlText w:val="%1."/>
      <w:lvlJc w:val="left"/>
      <w:pPr>
        <w:tabs>
          <w:tab w:val="num" w:pos="540"/>
        </w:tabs>
        <w:ind w:left="540" w:hanging="270"/>
        <w:spacing w:after="80" w:line="300" w:lineRule="auto"/>
      </w:pPr>
      <w:rPr/>
    </w:lvl>
    <w:lvl w:ilvl="1">
      <w:start w:val="1"/>
      <w:numFmt w:val="decimal"/>
      <w:lvlText w:val="%2."/>
      <w:lvlJc w:val="left"/>
      <w:pPr>
        <w:tabs>
          <w:tab w:val="num" w:pos="900"/>
        </w:tabs>
        <w:ind w:left="900" w:hanging="270"/>
        <w:spacing w:after="80" w:line="300" w:lineRule="auto"/>
      </w:pPr>
      <w:rPr/>
    </w:lvl>
    <w:lvl w:ilvl="2">
      <w:start w:val="1"/>
      <w:numFmt w:val="decimal"/>
      <w:lvlText w:val="%3."/>
      <w:lvlJc w:val="left"/>
      <w:pPr>
        <w:tabs>
          <w:tab w:val="num" w:pos="1260"/>
        </w:tabs>
        <w:ind w:left="1260" w:hanging="270"/>
        <w:spacing w:after="80" w:line="300" w:lineRule="auto"/>
      </w:pPr>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rial" w:hAnsi="Arial"/>
      <w:color w:val="24252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b/>
      <w:bCs/>
      <w:color w:val="B22125"/>
      <w:sz w:val="36"/>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b/>
      <w:bCs/>
      <w:color w:val="B22125"/>
      <w:sz w:val="27"/>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07070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070707"/>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320"/>
    </w:pPr>
    <w:rPr>
      <w:rFonts w:asciiTheme="majorHAnsi" w:eastAsiaTheme="majorEastAsia" w:hAnsiTheme="majorHAnsi" w:cstheme="majorBidi" w:ascii="Arial" w:hAnsi="Arial"/>
      <w:i/>
      <w:iCs/>
      <w:color w:val="65666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ultrapro.com/pages/privacy-policy" TargetMode="External"/><Relationship Id="rId13" Type="http://schemas.openxmlformats.org/officeDocument/2006/relationships/hyperlink" Target="mailto:edisupport@ultrapro.com" TargetMode="External"/><Relationship Id="rId14" Type="http://schemas.openxmlformats.org/officeDocument/2006/relationships/hyperlink" Target="https://ultrapro.com/" TargetMode="External"/><Relationship Id="rId15" Type="http://schemas.openxmlformats.org/officeDocument/2006/relationships/hyperlink" Target="https://outlook.office.com/book/Gf5423982311f4b3ab05454634c0d6b7a@ultrapr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Ultra PRO EDI/API Integration Onboarding Workflow</dc:title>
  <dc:subject>Partner integration process from initial contact through production rollout</dc:subject>
  <dc:creator>Ultra PRO International</dc:creator>
  <cp:keywords>Ultra PRO, EDI, API, SFTP, Cleo, ERPNext, onboarding</cp:keywords>
  <dc:description>Externally shareable workflow; verify certification and audit claims before publication.</dc:description>
  <cp:lastModifiedBy/>
  <cp:revision>1</cp:revision>
  <dcterms:created xsi:type="dcterms:W3CDTF">2013-12-23T23:15:00Z</dcterms:created>
  <dcterms:modified xsi:type="dcterms:W3CDTF">2013-12-23T23:15:00Z</dcterms:modified>
  <cp:category/>
</cp:coreProperties>
</file>